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Default="004C29CA" w:rsidP="0000790C">
      <w:pPr>
        <w:ind w:right="-35"/>
        <w:jc w:val="right"/>
        <w:rPr>
          <w:rFonts w:ascii="Bookman Old Style" w:hAnsi="Bookman Old Style" w:cs="Arial"/>
          <w:b/>
          <w:i/>
          <w:iCs/>
          <w:sz w:val="28"/>
          <w:szCs w:val="28"/>
          <w:lang w:val="el-GR"/>
        </w:rPr>
      </w:pPr>
    </w:p>
    <w:p w14:paraId="77E1AFC9" w14:textId="77777777" w:rsidR="00384DF3" w:rsidRPr="007A0D8E" w:rsidRDefault="00384DF3" w:rsidP="0000790C">
      <w:pPr>
        <w:ind w:right="-35"/>
        <w:jc w:val="right"/>
        <w:rPr>
          <w:rFonts w:ascii="Bookman Old Style" w:hAnsi="Bookman Old Style" w:cs="Arial"/>
          <w:b/>
          <w:i/>
          <w:iCs/>
          <w:sz w:val="28"/>
          <w:szCs w:val="28"/>
          <w:lang w:val="el-GR"/>
        </w:rPr>
      </w:pPr>
    </w:p>
    <w:p w14:paraId="7C310DF1" w14:textId="6260F897"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w:t>
      </w:r>
      <w:proofErr w:type="spellStart"/>
      <w:r>
        <w:rPr>
          <w:rFonts w:ascii="Bookman Old Style" w:hAnsi="Bookman Old Style" w:cs="Arial"/>
          <w:b/>
          <w:i/>
          <w:iCs/>
          <w:sz w:val="28"/>
          <w:szCs w:val="28"/>
          <w:lang w:val="el-GR"/>
        </w:rPr>
        <w:t>Αρ</w:t>
      </w:r>
      <w:proofErr w:type="spellEnd"/>
      <w:r>
        <w:rPr>
          <w:rFonts w:ascii="Bookman Old Style" w:hAnsi="Bookman Old Style" w:cs="Arial"/>
          <w:b/>
          <w:i/>
          <w:iCs/>
          <w:sz w:val="28"/>
          <w:szCs w:val="28"/>
          <w:lang w:val="el-GR"/>
        </w:rPr>
        <w:t xml:space="preserve">. </w:t>
      </w:r>
      <w:r w:rsidR="006318B0">
        <w:rPr>
          <w:rFonts w:ascii="Bookman Old Style" w:hAnsi="Bookman Old Style" w:cs="Arial"/>
          <w:b/>
          <w:i/>
          <w:iCs/>
          <w:sz w:val="28"/>
          <w:szCs w:val="28"/>
          <w:lang w:val="el-GR"/>
        </w:rPr>
        <w:t>1</w:t>
      </w:r>
      <w:r w:rsidR="00EA5D48" w:rsidRPr="00384DF3">
        <w:rPr>
          <w:rFonts w:ascii="Bookman Old Style" w:hAnsi="Bookman Old Style" w:cs="Arial"/>
          <w:b/>
          <w:i/>
          <w:iCs/>
          <w:sz w:val="28"/>
          <w:szCs w:val="28"/>
          <w:lang w:val="el-GR"/>
        </w:rPr>
        <w:t>77</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3F957853" w:rsidR="004C29CA" w:rsidRPr="00EA5D48" w:rsidRDefault="00724C01"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EA5D48">
        <w:rPr>
          <w:rFonts w:ascii="Bookman Old Style" w:hAnsi="Bookman Old Style" w:cs="Arial"/>
          <w:i/>
          <w:iCs/>
          <w:sz w:val="28"/>
          <w:szCs w:val="28"/>
          <w:lang w:val="el-GR"/>
        </w:rPr>
        <w:t xml:space="preserve">                               </w:t>
      </w:r>
      <w:r w:rsidRPr="00724C01">
        <w:rPr>
          <w:rFonts w:ascii="Bookman Old Style" w:hAnsi="Bookman Old Style" w:cs="Arial"/>
          <w:b/>
          <w:bCs/>
          <w:i/>
          <w:iCs/>
          <w:sz w:val="28"/>
          <w:szCs w:val="28"/>
          <w:lang w:val="el-GR"/>
        </w:rPr>
        <w:t>(</w:t>
      </w:r>
      <w:proofErr w:type="spellStart"/>
      <w:r w:rsidRPr="00724C01">
        <w:rPr>
          <w:rFonts w:ascii="Bookman Old Style" w:hAnsi="Bookman Old Style" w:cs="Arial"/>
          <w:b/>
          <w:bCs/>
          <w:i/>
          <w:iCs/>
          <w:sz w:val="28"/>
          <w:szCs w:val="28"/>
          <w:lang w:val="en-US"/>
        </w:rPr>
        <w:t>i</w:t>
      </w:r>
      <w:proofErr w:type="spellEnd"/>
      <w:r w:rsidRPr="00EA5D48">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justice</w:t>
      </w:r>
      <w:r w:rsidRPr="00EA5D48">
        <w:rPr>
          <w:rFonts w:ascii="Bookman Old Style" w:hAnsi="Bookman Old Style" w:cs="Arial"/>
          <w:b/>
          <w:bCs/>
          <w:i/>
          <w:iCs/>
          <w:sz w:val="28"/>
          <w:szCs w:val="28"/>
          <w:lang w:val="el-GR"/>
        </w:rPr>
        <w:t>)</w:t>
      </w:r>
    </w:p>
    <w:p w14:paraId="3168C780" w14:textId="77777777" w:rsidR="004C29CA" w:rsidRDefault="004C29CA" w:rsidP="0000790C">
      <w:pPr>
        <w:ind w:right="-35"/>
        <w:jc w:val="center"/>
        <w:rPr>
          <w:rFonts w:ascii="Bookman Old Style" w:hAnsi="Bookman Old Style" w:cs="Arial"/>
          <w:b/>
          <w:bCs/>
          <w:sz w:val="28"/>
          <w:szCs w:val="28"/>
          <w:lang w:val="el-GR"/>
        </w:rPr>
      </w:pPr>
    </w:p>
    <w:p w14:paraId="3D0D55C5" w14:textId="77777777" w:rsidR="00384DF3" w:rsidRPr="00724C01" w:rsidRDefault="00384DF3" w:rsidP="0000790C">
      <w:pPr>
        <w:ind w:right="-35"/>
        <w:jc w:val="center"/>
        <w:rPr>
          <w:rFonts w:ascii="Bookman Old Style" w:hAnsi="Bookman Old Style" w:cs="Arial"/>
          <w:b/>
          <w:bCs/>
          <w:sz w:val="28"/>
          <w:szCs w:val="28"/>
          <w:lang w:val="el-GR"/>
        </w:rPr>
      </w:pPr>
    </w:p>
    <w:p w14:paraId="1BBA4D20" w14:textId="47055C17" w:rsidR="004C29CA" w:rsidRPr="00384DF3" w:rsidRDefault="005614AF"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10 </w:t>
      </w:r>
      <w:r w:rsidR="00384DF3">
        <w:rPr>
          <w:rFonts w:ascii="Bookman Old Style" w:hAnsi="Bookman Old Style" w:cs="Arial"/>
          <w:b/>
          <w:sz w:val="28"/>
          <w:szCs w:val="28"/>
          <w:lang w:val="el-GR"/>
        </w:rPr>
        <w:t>Ιανουαρίου,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EA5D48" w:rsidRPr="00384DF3">
        <w:rPr>
          <w:rFonts w:ascii="Bookman Old Style" w:hAnsi="Bookman Old Style" w:cs="Arial"/>
          <w:b/>
          <w:sz w:val="28"/>
          <w:szCs w:val="28"/>
          <w:lang w:val="el-GR"/>
        </w:rPr>
        <w:t>4</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64DF6CF1"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384DF3">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Pr="007A0D8E" w:rsidRDefault="004C29CA" w:rsidP="0000790C">
      <w:pPr>
        <w:ind w:right="-35"/>
        <w:rPr>
          <w:rFonts w:ascii="Bookman Old Style" w:hAnsi="Bookman Old Style" w:cs="Arial"/>
          <w:sz w:val="28"/>
          <w:szCs w:val="28"/>
          <w:u w:val="single"/>
          <w:lang w:val="el-GR"/>
        </w:rPr>
      </w:pPr>
    </w:p>
    <w:p w14:paraId="3342B548" w14:textId="23181AB1" w:rsidR="00166BDD" w:rsidRDefault="00166BDD" w:rsidP="00384DF3">
      <w:pPr>
        <w:pStyle w:val="Bodytext20"/>
        <w:shd w:val="clear" w:color="auto" w:fill="auto"/>
        <w:spacing w:before="0" w:line="276" w:lineRule="auto"/>
        <w:ind w:right="-35"/>
        <w:rPr>
          <w:rFonts w:ascii="Bookman Old Style" w:hAnsi="Bookman Old Style"/>
          <w:color w:val="000000"/>
          <w:sz w:val="28"/>
          <w:szCs w:val="28"/>
          <w:lang w:bidi="el-GR"/>
        </w:rPr>
      </w:pPr>
      <w:r w:rsidRPr="00C375FA">
        <w:rPr>
          <w:rFonts w:ascii="Bookman Old Style" w:hAnsi="Bookman Old Style"/>
          <w:color w:val="000000"/>
          <w:sz w:val="28"/>
          <w:szCs w:val="28"/>
          <w:lang w:bidi="el-GR"/>
        </w:rPr>
        <w:t xml:space="preserve">ΑΝΑΦΟΡΙΚΑ ΜΕ ΤΟ ΑΡΘΡΟ 155.4 ΤΟΥ ΣΥΝΤΑΓΜΑΤΟΣ ΚΑΙ ΤΑ ΑΡΘΡΑ 3 ΚΑΙ 9 ΤΟΥ ΠΕΡΙ ΑΠΟΝΟΜΗΣ ΤΗΣ ΔΙΚΑΙΟΣΥΝΗΣ (ΠΟΙΚΙΛΑΙ ΔΙΑΤΑΞΕΙΣ) ΝΟΜΟΥ </w:t>
      </w:r>
      <w:r>
        <w:rPr>
          <w:rFonts w:ascii="Bookman Old Style" w:hAnsi="Bookman Old Style"/>
          <w:color w:val="000000"/>
          <w:sz w:val="28"/>
          <w:szCs w:val="28"/>
          <w:lang w:bidi="el-GR"/>
        </w:rPr>
        <w:t xml:space="preserve">ΤΟΥ </w:t>
      </w:r>
      <w:r w:rsidRPr="00C375FA">
        <w:rPr>
          <w:rFonts w:ascii="Bookman Old Style" w:hAnsi="Bookman Old Style"/>
          <w:color w:val="000000"/>
          <w:sz w:val="28"/>
          <w:szCs w:val="28"/>
          <w:lang w:bidi="el-GR"/>
        </w:rPr>
        <w:t>1964</w:t>
      </w:r>
      <w:r w:rsidRPr="00166BDD">
        <w:rPr>
          <w:rFonts w:ascii="Bookman Old Style" w:hAnsi="Bookman Old Style"/>
          <w:color w:val="000000"/>
          <w:sz w:val="28"/>
          <w:szCs w:val="28"/>
          <w:lang w:bidi="el-GR"/>
        </w:rPr>
        <w:t xml:space="preserve"> (</w:t>
      </w:r>
      <w:r>
        <w:rPr>
          <w:rFonts w:ascii="Bookman Old Style" w:hAnsi="Bookman Old Style"/>
          <w:color w:val="000000"/>
          <w:sz w:val="28"/>
          <w:szCs w:val="28"/>
          <w:lang w:bidi="el-GR"/>
        </w:rPr>
        <w:t>Ν. 33/1964), ΩΣ ΕΧΕΙ ΤΡΟΠΟΠΟΙΗΘΕΙ</w:t>
      </w:r>
    </w:p>
    <w:p w14:paraId="7BF1F953" w14:textId="77777777" w:rsidR="00384DF3" w:rsidRDefault="00384DF3" w:rsidP="00384DF3">
      <w:pPr>
        <w:pStyle w:val="Bodytext20"/>
        <w:shd w:val="clear" w:color="auto" w:fill="auto"/>
        <w:spacing w:before="0" w:line="276" w:lineRule="auto"/>
        <w:ind w:right="-35"/>
        <w:rPr>
          <w:rFonts w:ascii="Bookman Old Style" w:hAnsi="Bookman Old Style"/>
          <w:color w:val="000000"/>
          <w:sz w:val="28"/>
          <w:szCs w:val="28"/>
          <w:lang w:bidi="el-GR"/>
        </w:rPr>
      </w:pPr>
    </w:p>
    <w:p w14:paraId="7A7E9009" w14:textId="7006C70D" w:rsidR="00166BDD" w:rsidRDefault="00166BDD" w:rsidP="002420BB">
      <w:pPr>
        <w:pStyle w:val="Bodytext20"/>
        <w:shd w:val="clear" w:color="auto" w:fill="auto"/>
        <w:spacing w:before="0" w:line="276" w:lineRule="auto"/>
        <w:ind w:right="-35"/>
        <w:jc w:val="center"/>
        <w:rPr>
          <w:rFonts w:ascii="Bookman Old Style" w:hAnsi="Bookman Old Style"/>
          <w:color w:val="000000"/>
          <w:sz w:val="28"/>
          <w:szCs w:val="28"/>
          <w:lang w:bidi="el-GR"/>
        </w:rPr>
      </w:pPr>
      <w:r w:rsidRPr="00C375FA">
        <w:rPr>
          <w:rFonts w:ascii="Bookman Old Style" w:hAnsi="Bookman Old Style"/>
          <w:color w:val="000000"/>
          <w:sz w:val="28"/>
          <w:szCs w:val="28"/>
          <w:lang w:bidi="el-GR"/>
        </w:rPr>
        <w:t>ΚΑΙ</w:t>
      </w:r>
    </w:p>
    <w:p w14:paraId="76650A41" w14:textId="77777777" w:rsidR="00384DF3" w:rsidRPr="00C375FA" w:rsidRDefault="00384DF3" w:rsidP="00384DF3">
      <w:pPr>
        <w:pStyle w:val="Bodytext20"/>
        <w:shd w:val="clear" w:color="auto" w:fill="auto"/>
        <w:spacing w:before="0" w:line="276" w:lineRule="auto"/>
        <w:ind w:right="-35"/>
        <w:jc w:val="center"/>
        <w:rPr>
          <w:rFonts w:ascii="Bookman Old Style" w:hAnsi="Bookman Old Style"/>
          <w:color w:val="000000"/>
          <w:sz w:val="28"/>
          <w:szCs w:val="28"/>
          <w:lang w:bidi="el-GR"/>
        </w:rPr>
      </w:pPr>
    </w:p>
    <w:p w14:paraId="1DFB1B8D" w14:textId="77777777" w:rsidR="00166BDD" w:rsidRPr="00C375FA" w:rsidRDefault="00166BDD" w:rsidP="00384DF3">
      <w:pPr>
        <w:pStyle w:val="Bodytext20"/>
        <w:shd w:val="clear" w:color="auto" w:fill="auto"/>
        <w:spacing w:before="0" w:line="276" w:lineRule="auto"/>
        <w:ind w:right="-35"/>
        <w:rPr>
          <w:rFonts w:ascii="Bookman Old Style" w:hAnsi="Bookman Old Style"/>
          <w:color w:val="000000"/>
          <w:sz w:val="28"/>
          <w:szCs w:val="28"/>
          <w:lang w:bidi="el-GR"/>
        </w:rPr>
      </w:pPr>
      <w:r w:rsidRPr="00C375FA">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ΔΙΑΔΙΚΑΣΤΙΚΟΣ ΚΑΝΟΝΙΣΜΟΣ ΤΟΥ 2018</w:t>
      </w:r>
    </w:p>
    <w:p w14:paraId="455CB827" w14:textId="77777777" w:rsidR="00166BDD" w:rsidRDefault="00166BDD" w:rsidP="00384DF3">
      <w:pPr>
        <w:pStyle w:val="Bodytext20"/>
        <w:shd w:val="clear" w:color="auto" w:fill="auto"/>
        <w:spacing w:before="0" w:line="276" w:lineRule="auto"/>
        <w:ind w:right="-35"/>
        <w:jc w:val="center"/>
        <w:rPr>
          <w:rFonts w:ascii="Bookman Old Style" w:hAnsi="Bookman Old Style"/>
          <w:color w:val="000000"/>
          <w:sz w:val="28"/>
          <w:szCs w:val="28"/>
          <w:lang w:bidi="el-GR"/>
        </w:rPr>
      </w:pPr>
    </w:p>
    <w:p w14:paraId="11119865" w14:textId="77777777" w:rsidR="00166BDD" w:rsidRDefault="00166BDD" w:rsidP="00384DF3">
      <w:pPr>
        <w:pStyle w:val="Bodytext20"/>
        <w:shd w:val="clear" w:color="auto" w:fill="auto"/>
        <w:spacing w:before="0" w:line="276" w:lineRule="auto"/>
        <w:ind w:right="-35"/>
        <w:jc w:val="center"/>
        <w:rPr>
          <w:rFonts w:ascii="Bookman Old Style" w:hAnsi="Bookman Old Style"/>
          <w:color w:val="000000"/>
          <w:sz w:val="28"/>
          <w:szCs w:val="28"/>
          <w:lang w:bidi="el-GR"/>
        </w:rPr>
      </w:pPr>
      <w:r w:rsidRPr="00C375FA">
        <w:rPr>
          <w:rFonts w:ascii="Bookman Old Style" w:hAnsi="Bookman Old Style"/>
          <w:color w:val="000000"/>
          <w:sz w:val="28"/>
          <w:szCs w:val="28"/>
          <w:lang w:bidi="el-GR"/>
        </w:rPr>
        <w:t>ΚΑΙ</w:t>
      </w:r>
    </w:p>
    <w:p w14:paraId="23C8CC4F" w14:textId="77777777" w:rsidR="00384DF3" w:rsidRPr="00C375FA" w:rsidRDefault="00384DF3" w:rsidP="00384DF3">
      <w:pPr>
        <w:pStyle w:val="Bodytext20"/>
        <w:shd w:val="clear" w:color="auto" w:fill="auto"/>
        <w:spacing w:before="0" w:line="276" w:lineRule="auto"/>
        <w:ind w:right="-35"/>
        <w:jc w:val="center"/>
        <w:rPr>
          <w:rFonts w:ascii="Bookman Old Style" w:hAnsi="Bookman Old Style"/>
          <w:color w:val="000000"/>
          <w:sz w:val="28"/>
          <w:szCs w:val="28"/>
          <w:lang w:bidi="el-GR"/>
        </w:rPr>
      </w:pPr>
    </w:p>
    <w:p w14:paraId="65CACD73" w14:textId="4EA5B2C5" w:rsidR="00166BDD" w:rsidRDefault="00166BDD" w:rsidP="00384DF3">
      <w:pPr>
        <w:pStyle w:val="Bodytext20"/>
        <w:shd w:val="clear" w:color="auto" w:fill="auto"/>
        <w:spacing w:before="0" w:line="276" w:lineRule="auto"/>
        <w:ind w:right="-35"/>
        <w:rPr>
          <w:rFonts w:ascii="Bookman Old Style" w:hAnsi="Bookman Old Style"/>
          <w:color w:val="000000"/>
          <w:sz w:val="28"/>
          <w:szCs w:val="28"/>
          <w:lang w:bidi="el-GR"/>
        </w:rPr>
      </w:pPr>
      <w:r w:rsidRPr="00C375FA">
        <w:rPr>
          <w:rFonts w:ascii="Bookman Old Style" w:hAnsi="Bookman Old Style"/>
          <w:color w:val="000000"/>
          <w:sz w:val="28"/>
          <w:szCs w:val="28"/>
          <w:lang w:bidi="el-GR"/>
        </w:rPr>
        <w:t>ΑΝΑΦΟΡΙΚΑ ΜΕ</w:t>
      </w:r>
      <w:r>
        <w:rPr>
          <w:rFonts w:ascii="Bookman Old Style" w:hAnsi="Bookman Old Style"/>
          <w:color w:val="000000"/>
          <w:sz w:val="28"/>
          <w:szCs w:val="28"/>
          <w:lang w:bidi="el-GR"/>
        </w:rPr>
        <w:t xml:space="preserve"> ΤΗΝ ΑΙΤΗΣΗ ΤΟΥ </w:t>
      </w:r>
      <w:r w:rsidRPr="00E76456">
        <w:rPr>
          <w:rFonts w:ascii="Bookman Old Style" w:hAnsi="Bookman Old Style"/>
          <w:color w:val="000000"/>
          <w:sz w:val="28"/>
          <w:szCs w:val="28"/>
          <w:lang w:bidi="el-GR"/>
        </w:rPr>
        <w:t>SHAMMI NISANKA PERERA BATADHUWAGE</w:t>
      </w:r>
      <w:r>
        <w:rPr>
          <w:rFonts w:ascii="Bookman Old Style" w:hAnsi="Bookman Old Style"/>
          <w:color w:val="000000"/>
          <w:sz w:val="28"/>
          <w:szCs w:val="28"/>
          <w:lang w:bidi="el-GR"/>
        </w:rPr>
        <w:t>, ΑΠΟ ΤΗΝ ΣΡΙ ΛΑΝΚΑ</w:t>
      </w:r>
      <w:r w:rsidRPr="00E76456">
        <w:rPr>
          <w:rFonts w:ascii="Bookman Old Style" w:hAnsi="Bookman Old Style"/>
          <w:color w:val="000000"/>
          <w:sz w:val="28"/>
          <w:szCs w:val="28"/>
          <w:lang w:bidi="el-GR"/>
        </w:rPr>
        <w:t xml:space="preserve"> </w:t>
      </w:r>
      <w:r w:rsidRPr="00C375FA">
        <w:rPr>
          <w:rFonts w:ascii="Bookman Old Style" w:hAnsi="Bookman Old Style"/>
          <w:color w:val="000000"/>
          <w:sz w:val="28"/>
          <w:szCs w:val="28"/>
          <w:lang w:bidi="el-GR"/>
        </w:rPr>
        <w:t>ΓΙΑ</w:t>
      </w:r>
      <w:r w:rsidRPr="00E76456">
        <w:rPr>
          <w:rFonts w:ascii="Bookman Old Style" w:hAnsi="Bookman Old Style"/>
          <w:color w:val="000000"/>
          <w:sz w:val="28"/>
          <w:szCs w:val="28"/>
          <w:lang w:bidi="el-GR"/>
        </w:rPr>
        <w:t xml:space="preserve"> </w:t>
      </w:r>
      <w:r>
        <w:rPr>
          <w:rFonts w:ascii="Bookman Old Style" w:hAnsi="Bookman Old Style"/>
          <w:color w:val="000000"/>
          <w:sz w:val="28"/>
          <w:szCs w:val="28"/>
          <w:lang w:bidi="el-GR"/>
        </w:rPr>
        <w:t>ΤΗΝ</w:t>
      </w:r>
      <w:r w:rsidRPr="00C375FA">
        <w:rPr>
          <w:rFonts w:ascii="Bookman Old Style" w:hAnsi="Bookman Old Style"/>
          <w:color w:val="000000"/>
          <w:sz w:val="28"/>
          <w:szCs w:val="28"/>
          <w:lang w:bidi="el-GR"/>
        </w:rPr>
        <w:t xml:space="preserve"> ΕΚΔΟΣΗ</w:t>
      </w:r>
      <w:r w:rsidRPr="00E76456">
        <w:rPr>
          <w:rFonts w:ascii="Bookman Old Style" w:hAnsi="Bookman Old Style"/>
          <w:color w:val="000000"/>
          <w:sz w:val="28"/>
          <w:szCs w:val="28"/>
          <w:lang w:bidi="el-GR"/>
        </w:rPr>
        <w:t xml:space="preserve"> </w:t>
      </w:r>
      <w:r w:rsidRPr="00C375FA">
        <w:rPr>
          <w:rFonts w:ascii="Bookman Old Style" w:hAnsi="Bookman Old Style"/>
          <w:color w:val="000000"/>
          <w:sz w:val="28"/>
          <w:szCs w:val="28"/>
          <w:lang w:bidi="el-GR"/>
        </w:rPr>
        <w:t>ΕΝΤΑΛΜΑΤΟΣ</w:t>
      </w:r>
      <w:r w:rsidRPr="00E76456">
        <w:rPr>
          <w:rFonts w:ascii="Bookman Old Style" w:hAnsi="Bookman Old Style"/>
          <w:color w:val="000000"/>
          <w:sz w:val="28"/>
          <w:szCs w:val="28"/>
          <w:lang w:bidi="el-GR"/>
        </w:rPr>
        <w:t xml:space="preserve"> HABEAS CORPUS</w:t>
      </w:r>
    </w:p>
    <w:p w14:paraId="3038A4A6" w14:textId="77777777" w:rsidR="00166BDD" w:rsidRPr="00C375FA" w:rsidRDefault="00166BDD" w:rsidP="00384DF3">
      <w:pPr>
        <w:pStyle w:val="Bodytext20"/>
        <w:shd w:val="clear" w:color="auto" w:fill="auto"/>
        <w:spacing w:before="0" w:line="276" w:lineRule="auto"/>
        <w:ind w:right="-35"/>
        <w:jc w:val="center"/>
        <w:rPr>
          <w:rFonts w:ascii="Bookman Old Style" w:hAnsi="Bookman Old Style"/>
          <w:color w:val="000000"/>
          <w:sz w:val="28"/>
          <w:szCs w:val="28"/>
          <w:lang w:bidi="el-GR"/>
        </w:rPr>
      </w:pPr>
    </w:p>
    <w:p w14:paraId="08112F0D" w14:textId="77777777" w:rsidR="00166BDD" w:rsidRPr="00C375FA" w:rsidRDefault="00166BDD" w:rsidP="00384DF3">
      <w:pPr>
        <w:pStyle w:val="Bodytext20"/>
        <w:shd w:val="clear" w:color="auto" w:fill="auto"/>
        <w:spacing w:before="0" w:line="276" w:lineRule="auto"/>
        <w:ind w:right="-35"/>
        <w:jc w:val="center"/>
        <w:rPr>
          <w:rFonts w:ascii="Bookman Old Style" w:hAnsi="Bookman Old Style"/>
          <w:color w:val="000000"/>
          <w:sz w:val="28"/>
          <w:szCs w:val="28"/>
          <w:lang w:bidi="el-GR"/>
        </w:rPr>
      </w:pPr>
      <w:r w:rsidRPr="00C375FA">
        <w:rPr>
          <w:rFonts w:ascii="Bookman Old Style" w:hAnsi="Bookman Old Style"/>
          <w:color w:val="000000"/>
          <w:sz w:val="28"/>
          <w:szCs w:val="28"/>
          <w:lang w:bidi="el-GR"/>
        </w:rPr>
        <w:t>ΚΑΙ</w:t>
      </w:r>
    </w:p>
    <w:p w14:paraId="1646C8C9" w14:textId="77777777" w:rsidR="00166BDD" w:rsidRPr="00C375FA" w:rsidRDefault="00166BDD" w:rsidP="00384DF3">
      <w:pPr>
        <w:pStyle w:val="Bodytext20"/>
        <w:shd w:val="clear" w:color="auto" w:fill="auto"/>
        <w:spacing w:before="0" w:line="276" w:lineRule="auto"/>
        <w:ind w:right="-35"/>
        <w:rPr>
          <w:rFonts w:ascii="Bookman Old Style" w:hAnsi="Bookman Old Style"/>
          <w:color w:val="000000"/>
          <w:sz w:val="28"/>
          <w:szCs w:val="28"/>
          <w:lang w:bidi="el-GR"/>
        </w:rPr>
      </w:pPr>
    </w:p>
    <w:p w14:paraId="4E121053" w14:textId="2905DABE" w:rsidR="00317E3B" w:rsidRDefault="00166BDD" w:rsidP="00384DF3">
      <w:pPr>
        <w:pStyle w:val="Bodytext20"/>
        <w:shd w:val="clear" w:color="auto" w:fill="auto"/>
        <w:spacing w:before="0" w:line="276" w:lineRule="auto"/>
        <w:ind w:right="-35"/>
        <w:rPr>
          <w:rFonts w:ascii="Bookman Old Style" w:hAnsi="Bookman Old Style"/>
          <w:color w:val="000000"/>
          <w:sz w:val="28"/>
          <w:szCs w:val="28"/>
          <w:lang w:bidi="el-GR"/>
        </w:rPr>
      </w:pPr>
      <w:r w:rsidRPr="00C375FA">
        <w:rPr>
          <w:rFonts w:ascii="Bookman Old Style" w:hAnsi="Bookman Old Style"/>
          <w:color w:val="000000"/>
          <w:sz w:val="28"/>
          <w:szCs w:val="28"/>
          <w:lang w:bidi="el-GR"/>
        </w:rPr>
        <w:t>ΑΝΑΦΟΡΙΚΑ ΜΕ</w:t>
      </w:r>
      <w:r w:rsidR="00317E3B">
        <w:rPr>
          <w:rFonts w:ascii="Bookman Old Style" w:hAnsi="Bookman Old Style"/>
          <w:color w:val="000000"/>
          <w:sz w:val="28"/>
          <w:szCs w:val="28"/>
          <w:lang w:bidi="el-GR"/>
        </w:rPr>
        <w:t xml:space="preserve"> ΤΟ ΣΥΝΤΑΓΜΑ</w:t>
      </w:r>
      <w:r w:rsidRPr="00E76456">
        <w:rPr>
          <w:rFonts w:ascii="Bookman Old Style" w:hAnsi="Bookman Old Style"/>
          <w:color w:val="000000"/>
          <w:sz w:val="28"/>
          <w:szCs w:val="28"/>
          <w:lang w:bidi="el-GR"/>
        </w:rPr>
        <w:t xml:space="preserve"> </w:t>
      </w:r>
      <w:r>
        <w:rPr>
          <w:rFonts w:ascii="Bookman Old Style" w:hAnsi="Bookman Old Style"/>
          <w:color w:val="000000"/>
          <w:sz w:val="28"/>
          <w:szCs w:val="28"/>
          <w:lang w:bidi="el-GR"/>
        </w:rPr>
        <w:t>ΤΗ</w:t>
      </w:r>
      <w:r w:rsidR="00317E3B">
        <w:rPr>
          <w:rFonts w:ascii="Bookman Old Style" w:hAnsi="Bookman Old Style"/>
          <w:color w:val="000000"/>
          <w:sz w:val="28"/>
          <w:szCs w:val="28"/>
          <w:lang w:bidi="el-GR"/>
        </w:rPr>
        <w:t>Σ</w:t>
      </w:r>
      <w:r>
        <w:rPr>
          <w:rFonts w:ascii="Bookman Old Style" w:hAnsi="Bookman Old Style"/>
          <w:color w:val="000000"/>
          <w:sz w:val="28"/>
          <w:szCs w:val="28"/>
          <w:lang w:bidi="el-GR"/>
        </w:rPr>
        <w:t xml:space="preserve"> ΚΥΠΡΙΑΚΗ</w:t>
      </w:r>
      <w:r w:rsidR="00317E3B">
        <w:rPr>
          <w:rFonts w:ascii="Bookman Old Style" w:hAnsi="Bookman Old Style"/>
          <w:color w:val="000000"/>
          <w:sz w:val="28"/>
          <w:szCs w:val="28"/>
          <w:lang w:bidi="el-GR"/>
        </w:rPr>
        <w:t>Σ</w:t>
      </w:r>
      <w:r>
        <w:rPr>
          <w:rFonts w:ascii="Bookman Old Style" w:hAnsi="Bookman Old Style"/>
          <w:color w:val="000000"/>
          <w:sz w:val="28"/>
          <w:szCs w:val="28"/>
          <w:lang w:bidi="el-GR"/>
        </w:rPr>
        <w:t xml:space="preserve"> ΔΗΜΟΚΡΑΤΙΑ</w:t>
      </w:r>
      <w:r w:rsidR="00317E3B">
        <w:rPr>
          <w:rFonts w:ascii="Bookman Old Style" w:hAnsi="Bookman Old Style"/>
          <w:color w:val="000000"/>
          <w:sz w:val="28"/>
          <w:szCs w:val="28"/>
          <w:lang w:bidi="el-GR"/>
        </w:rPr>
        <w:t xml:space="preserve">Σ, ΤΟΝ ΠΕΡΙ ΔΙΚΑΣΤΗΡΙΩΝ ΝΟΜΟ 14/60, ΤΟΥΣ ΠΕΡΙ ΑΠΟΝΟΜΗΣ ΤΗΣ ΔΙΚΑΙΟΣΥΝΗΣ (ΠΟΙΚΙΛΕΣ ΔΙΑΤΑΞΕΙΣ) ΝΟΜΩΝ ΤΟΥ 1964 ΜΕΧΡΙ 1991, ΤΗΝ ΕΥΡΩΠΑΙΚΗ ΣΥΜΒΑΣΗ ΓΙΑ ΤΗΝ ΠΡΟΑΣΠΙΣΗ ΤΩΝ ΑΝΘΡΩΠΙΝΩΝ ΔΙΚΑΙΩΜΑΤΩΝ, ΤΟΝ ΧΑΡΤΗ ΘΕΜΕΛΙΩΔΩΝ ΔΙΚΑΙΩΜΑΤΩΝ ΤΗΣ Ε.Ε., ΤΟΝ ΠΕΡΙ ΠΡΟΣΦΥΓΩΝ ΝΟΜΟ, ΤΗΝ ΟΔΗΓΙΑ 2013/33/ΕΕ ΣΧΕΤΙΚΑ ΜΕ </w:t>
      </w:r>
      <w:r w:rsidR="00317E3B">
        <w:rPr>
          <w:rFonts w:ascii="Bookman Old Style" w:hAnsi="Bookman Old Style"/>
          <w:color w:val="000000"/>
          <w:sz w:val="28"/>
          <w:szCs w:val="28"/>
          <w:lang w:bidi="el-GR"/>
        </w:rPr>
        <w:lastRenderedPageBreak/>
        <w:t>ΤΙΣ ΑΠΑΙΤΗΣΕΙΣ ΓΙΑ ΤΗΝ ΥΠΟΔΟΧΗ ΤΩΝ ΑΙΤΟΥΝΤΩΝ ΔΙΕΘΝΗ ΠΡΟΣΤΑΣΙΑ, ΤΟΝ ΠΕΡΙ ΑΛΛΟΔΑΠΩΝ ΚΑΙ ΜΕΤΑΝΑΣΤΕΥΣΕΩΣ ΝΟΜΟ ΚΕΦ. 105, ΤΗΝ ΟΔΗΓΙΑ 115/2008/ΕΚ ΣΧΕΤΙΚΑ ΜΕ ΤΟΥΣ ΚΟΙΝΟΥΣ ΚΑΝΟΝΕΣ ΚΑΙ ΔΙΑΔΙΚΑΣΙΕΣ ΣΤΑ ΚΡΑΤΗ ΜΕΛΗ ΓΙΑ ΤΗΝ ΕΠΙΣΤΡΟΦΗ ΤΩΝ ΠΑΡΑΝΟΜΩΣ ΔΙΑΜΕΝΟΝΤΩΝ ΥΠΗΚΟΩΝ ΤΡΙΤΩΝ ΧΩΡΩΝ</w:t>
      </w:r>
    </w:p>
    <w:p w14:paraId="7D2FA1AA" w14:textId="77777777" w:rsidR="00384DF3" w:rsidRDefault="00384DF3" w:rsidP="00384DF3">
      <w:pPr>
        <w:pStyle w:val="Bodytext20"/>
        <w:shd w:val="clear" w:color="auto" w:fill="auto"/>
        <w:spacing w:before="0" w:line="276" w:lineRule="auto"/>
        <w:ind w:right="-35"/>
        <w:rPr>
          <w:rFonts w:ascii="Bookman Old Style" w:hAnsi="Bookman Old Style"/>
          <w:color w:val="000000"/>
          <w:sz w:val="28"/>
          <w:szCs w:val="28"/>
          <w:lang w:bidi="el-GR"/>
        </w:rPr>
      </w:pPr>
    </w:p>
    <w:p w14:paraId="7197DDD9" w14:textId="2092561B" w:rsidR="00317E3B" w:rsidRDefault="00317E3B" w:rsidP="00384DF3">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4FB9365" w14:textId="77777777" w:rsidR="00317E3B" w:rsidRDefault="00317E3B" w:rsidP="00384DF3">
      <w:pPr>
        <w:pStyle w:val="Bodytext20"/>
        <w:shd w:val="clear" w:color="auto" w:fill="auto"/>
        <w:spacing w:before="0" w:line="276" w:lineRule="auto"/>
        <w:ind w:right="-35"/>
        <w:rPr>
          <w:rFonts w:ascii="Bookman Old Style" w:hAnsi="Bookman Old Style"/>
          <w:color w:val="000000"/>
          <w:sz w:val="28"/>
          <w:szCs w:val="28"/>
          <w:lang w:bidi="el-GR"/>
        </w:rPr>
      </w:pPr>
    </w:p>
    <w:p w14:paraId="1F08DB56" w14:textId="7A113A97" w:rsidR="00317E3B" w:rsidRDefault="00317E3B" w:rsidP="00384DF3">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ΚΥΠΡΙΑΚΗ ΔΗΜΟΚΡΑΤΙΑ ΜΕΣΩ:</w:t>
      </w:r>
    </w:p>
    <w:p w14:paraId="58E99EF5" w14:textId="77777777" w:rsidR="00384DF3" w:rsidRDefault="00384DF3" w:rsidP="00384DF3">
      <w:pPr>
        <w:pStyle w:val="Bodytext20"/>
        <w:shd w:val="clear" w:color="auto" w:fill="auto"/>
        <w:spacing w:before="0" w:line="276" w:lineRule="auto"/>
        <w:ind w:right="-35"/>
        <w:rPr>
          <w:rFonts w:ascii="Bookman Old Style" w:hAnsi="Bookman Old Style"/>
          <w:color w:val="000000"/>
          <w:sz w:val="28"/>
          <w:szCs w:val="28"/>
          <w:lang w:bidi="el-GR"/>
        </w:rPr>
      </w:pPr>
    </w:p>
    <w:p w14:paraId="3D9090F3" w14:textId="2F4C8B56" w:rsidR="00317E3B" w:rsidRDefault="00317E3B" w:rsidP="00384DF3">
      <w:pPr>
        <w:pStyle w:val="Bodytext20"/>
        <w:numPr>
          <w:ilvl w:val="0"/>
          <w:numId w:val="19"/>
        </w:numPr>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ΥΠΟΥΡΓΟΥ ΕΣΩΤΕΡΙΚΩΝ</w:t>
      </w:r>
    </w:p>
    <w:p w14:paraId="1D4A24AB" w14:textId="57B54E22" w:rsidR="00317E3B" w:rsidRDefault="00317E3B" w:rsidP="00384DF3">
      <w:pPr>
        <w:pStyle w:val="Bodytext20"/>
        <w:numPr>
          <w:ilvl w:val="0"/>
          <w:numId w:val="19"/>
        </w:numPr>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ΔΙΕΥΘΥΝΤΗ ΤΟΥ ΤΜΗΜΑΤΟΣ ΑΡΧΕΙΟΥ</w:t>
      </w:r>
    </w:p>
    <w:p w14:paraId="07C26B74" w14:textId="39C48F98" w:rsidR="00317E3B" w:rsidRDefault="00317E3B" w:rsidP="00384DF3">
      <w:pPr>
        <w:pStyle w:val="Bodytext20"/>
        <w:shd w:val="clear" w:color="auto" w:fill="auto"/>
        <w:spacing w:before="0" w:line="276" w:lineRule="auto"/>
        <w:ind w:left="720" w:right="-35"/>
        <w:rPr>
          <w:rFonts w:ascii="Bookman Old Style" w:hAnsi="Bookman Old Style"/>
          <w:color w:val="000000"/>
          <w:sz w:val="28"/>
          <w:szCs w:val="28"/>
          <w:lang w:bidi="el-GR"/>
        </w:rPr>
      </w:pPr>
      <w:r>
        <w:rPr>
          <w:rFonts w:ascii="Bookman Old Style" w:hAnsi="Bookman Old Style"/>
          <w:color w:val="000000"/>
          <w:sz w:val="28"/>
          <w:szCs w:val="28"/>
          <w:lang w:bidi="el-GR"/>
        </w:rPr>
        <w:t>ΠΛΗΘΥΣΜΟΥ ΚΑΙ ΜΕΤΑΝΑΣΤΕΥΣΗΣ</w:t>
      </w:r>
    </w:p>
    <w:p w14:paraId="5B8D52FB" w14:textId="27C44491" w:rsidR="00317E3B" w:rsidRDefault="00317E3B" w:rsidP="00384DF3">
      <w:pPr>
        <w:pStyle w:val="Bodytext20"/>
        <w:numPr>
          <w:ilvl w:val="0"/>
          <w:numId w:val="19"/>
        </w:numPr>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ΑΡΧΗΓΟΥ ΑΣΤΥΝΟΜΙΑΣ</w:t>
      </w:r>
    </w:p>
    <w:p w14:paraId="738B7D69" w14:textId="77777777" w:rsidR="00317E3B" w:rsidRDefault="00317E3B" w:rsidP="00384DF3">
      <w:pPr>
        <w:pStyle w:val="Bodytext20"/>
        <w:shd w:val="clear" w:color="auto" w:fill="auto"/>
        <w:spacing w:before="0" w:line="276" w:lineRule="auto"/>
        <w:ind w:left="360" w:right="-35"/>
        <w:rPr>
          <w:rFonts w:ascii="Bookman Old Style" w:hAnsi="Bookman Old Style"/>
          <w:color w:val="000000"/>
          <w:sz w:val="28"/>
          <w:szCs w:val="28"/>
          <w:lang w:bidi="el-GR"/>
        </w:rPr>
      </w:pPr>
    </w:p>
    <w:p w14:paraId="2DAE2B30" w14:textId="553FACB6" w:rsidR="00317E3B" w:rsidRDefault="00317E3B" w:rsidP="00384DF3">
      <w:pPr>
        <w:pStyle w:val="Bodytext20"/>
        <w:shd w:val="clear" w:color="auto" w:fill="auto"/>
        <w:spacing w:before="0" w:line="276" w:lineRule="auto"/>
        <w:ind w:left="360" w:right="-35"/>
        <w:rPr>
          <w:rFonts w:ascii="Bookman Old Style" w:hAnsi="Bookman Old Style"/>
          <w:color w:val="000000"/>
          <w:sz w:val="28"/>
          <w:szCs w:val="28"/>
          <w:lang w:bidi="el-GR"/>
        </w:rPr>
      </w:pPr>
      <w:r>
        <w:rPr>
          <w:rFonts w:ascii="Bookman Old Style" w:hAnsi="Bookman Old Style"/>
          <w:color w:val="000000"/>
          <w:sz w:val="28"/>
          <w:szCs w:val="28"/>
          <w:lang w:bidi="el-GR"/>
        </w:rPr>
        <w:t>ΔΙΑ ΤΟΥ ΓΕΝΙΚΟΥ ΕΙΣΑΓΓΕΛΕΑ ΤΗΣ ΔΗΜΟΚΡΑΤΙΑΣ</w:t>
      </w:r>
    </w:p>
    <w:p w14:paraId="6FBA2A53" w14:textId="77777777" w:rsidR="00384DF3" w:rsidRDefault="00384DF3" w:rsidP="00384DF3">
      <w:pPr>
        <w:pStyle w:val="Bodytext20"/>
        <w:shd w:val="clear" w:color="auto" w:fill="auto"/>
        <w:spacing w:before="0" w:line="276" w:lineRule="auto"/>
        <w:ind w:left="360" w:right="-35"/>
        <w:rPr>
          <w:rFonts w:ascii="Bookman Old Style" w:hAnsi="Bookman Old Style"/>
          <w:color w:val="000000"/>
          <w:sz w:val="28"/>
          <w:szCs w:val="28"/>
          <w:lang w:bidi="el-GR"/>
        </w:rPr>
      </w:pPr>
    </w:p>
    <w:p w14:paraId="3491904D" w14:textId="1E0AF25C" w:rsidR="00166BDD" w:rsidRDefault="00317E3B" w:rsidP="00384DF3">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ΟΙ ΟΠΟΙΟΙ</w:t>
      </w:r>
      <w:r w:rsidR="00166BDD">
        <w:rPr>
          <w:rFonts w:ascii="Bookman Old Style" w:hAnsi="Bookman Old Style"/>
          <w:color w:val="000000"/>
          <w:sz w:val="28"/>
          <w:szCs w:val="28"/>
          <w:lang w:bidi="el-GR"/>
        </w:rPr>
        <w:t xml:space="preserve"> ΠΑΡΑΝΟΜΑ ΣΥΝΕΧΙΖΟΥΝ ΝΑ ΕΧΟΥΝ ΥΠΟ ΚΡΑΤΗΣΗ ΤΟΝ </w:t>
      </w:r>
      <w:r>
        <w:rPr>
          <w:rFonts w:ascii="Bookman Old Style" w:hAnsi="Bookman Old Style"/>
          <w:color w:val="000000"/>
          <w:sz w:val="28"/>
          <w:szCs w:val="28"/>
          <w:lang w:bidi="el-GR"/>
        </w:rPr>
        <w:t xml:space="preserve">κ. </w:t>
      </w:r>
      <w:r w:rsidR="00166BDD" w:rsidRPr="00E76456">
        <w:rPr>
          <w:rFonts w:ascii="Bookman Old Style" w:hAnsi="Bookman Old Style"/>
          <w:color w:val="000000"/>
          <w:sz w:val="28"/>
          <w:szCs w:val="28"/>
          <w:lang w:bidi="el-GR"/>
        </w:rPr>
        <w:t>SHAMMI NISANKA PERERA BATADHUWAGE</w:t>
      </w:r>
      <w:r w:rsidR="00166BDD">
        <w:rPr>
          <w:rFonts w:ascii="Bookman Old Style" w:hAnsi="Bookman Old Style"/>
          <w:color w:val="000000"/>
          <w:sz w:val="28"/>
          <w:szCs w:val="28"/>
          <w:lang w:bidi="el-GR"/>
        </w:rPr>
        <w:t xml:space="preserve"> ΚΑΤΑ ΠΑΡΑΒΑΣΗ Τ</w:t>
      </w:r>
      <w:r>
        <w:rPr>
          <w:rFonts w:ascii="Bookman Old Style" w:hAnsi="Bookman Old Style"/>
          <w:color w:val="000000"/>
          <w:sz w:val="28"/>
          <w:szCs w:val="28"/>
          <w:lang w:bidi="el-GR"/>
        </w:rPr>
        <w:t>ΟΥ</w:t>
      </w:r>
      <w:r w:rsidR="00166BDD">
        <w:rPr>
          <w:rFonts w:ascii="Bookman Old Style" w:hAnsi="Bookman Old Style"/>
          <w:color w:val="000000"/>
          <w:sz w:val="28"/>
          <w:szCs w:val="28"/>
          <w:lang w:bidi="el-GR"/>
        </w:rPr>
        <w:t xml:space="preserve"> ΑΡΘΡ</w:t>
      </w:r>
      <w:r>
        <w:rPr>
          <w:rFonts w:ascii="Bookman Old Style" w:hAnsi="Bookman Old Style"/>
          <w:color w:val="000000"/>
          <w:sz w:val="28"/>
          <w:szCs w:val="28"/>
          <w:lang w:bidi="el-GR"/>
        </w:rPr>
        <w:t>ΟΥ</w:t>
      </w:r>
      <w:r w:rsidR="00166BDD">
        <w:rPr>
          <w:rFonts w:ascii="Bookman Old Style" w:hAnsi="Bookman Old Style"/>
          <w:color w:val="000000"/>
          <w:sz w:val="28"/>
          <w:szCs w:val="28"/>
          <w:lang w:bidi="el-GR"/>
        </w:rPr>
        <w:t xml:space="preserve"> 11 ΤΟΥ ΣΥΝΤΑΓΜΑΤΟΣ,</w:t>
      </w:r>
      <w:r>
        <w:rPr>
          <w:rFonts w:ascii="Bookman Old Style" w:hAnsi="Bookman Old Style"/>
          <w:color w:val="000000"/>
          <w:sz w:val="28"/>
          <w:szCs w:val="28"/>
          <w:lang w:bidi="el-GR"/>
        </w:rPr>
        <w:t xml:space="preserve"> ΤΟΥ</w:t>
      </w:r>
      <w:r w:rsidR="00166BDD">
        <w:rPr>
          <w:rFonts w:ascii="Bookman Old Style" w:hAnsi="Bookman Old Style"/>
          <w:color w:val="000000"/>
          <w:sz w:val="28"/>
          <w:szCs w:val="28"/>
          <w:lang w:bidi="el-GR"/>
        </w:rPr>
        <w:t xml:space="preserve"> ΑΡΘΡΟ</w:t>
      </w:r>
      <w:r>
        <w:rPr>
          <w:rFonts w:ascii="Bookman Old Style" w:hAnsi="Bookman Old Style"/>
          <w:color w:val="000000"/>
          <w:sz w:val="28"/>
          <w:szCs w:val="28"/>
          <w:lang w:bidi="el-GR"/>
        </w:rPr>
        <w:t>Υ</w:t>
      </w:r>
      <w:r w:rsidR="00166BDD">
        <w:rPr>
          <w:rFonts w:ascii="Bookman Old Style" w:hAnsi="Bookman Old Style"/>
          <w:color w:val="000000"/>
          <w:sz w:val="28"/>
          <w:szCs w:val="28"/>
          <w:lang w:bidi="el-GR"/>
        </w:rPr>
        <w:t xml:space="preserve"> 5 ΤΗΣ Ε</w:t>
      </w:r>
      <w:r>
        <w:rPr>
          <w:rFonts w:ascii="Bookman Old Style" w:hAnsi="Bookman Old Style"/>
          <w:color w:val="000000"/>
          <w:sz w:val="28"/>
          <w:szCs w:val="28"/>
          <w:lang w:bidi="el-GR"/>
        </w:rPr>
        <w:t xml:space="preserve">ΥΡΩΠΑΙΚΗΣ ΣΥΜΒΑΣΗΣ ΓΙΑ ΤΗΝ ΠΡΟΑΣΠΙΣΗ ΤΩΝ ΑΝΘΡΩΠΙΝΩΝ ΔΙΚΑΙΩΜΑΤΩΝ, </w:t>
      </w:r>
      <w:r w:rsidR="00166BDD">
        <w:rPr>
          <w:rFonts w:ascii="Bookman Old Style" w:hAnsi="Bookman Old Style"/>
          <w:color w:val="000000"/>
          <w:sz w:val="28"/>
          <w:szCs w:val="28"/>
          <w:lang w:bidi="el-GR"/>
        </w:rPr>
        <w:t xml:space="preserve">ΤΟΥ ΑΡΘΡΟΥ 1 ΤΟΥ ΠΡΩΤΟΚΟΛΛΟΥ ΥΠ’ ΑΡΙΘ. 7, ΤΟΥ ΑΡΘΡΟΥ 18ΠΣΤ </w:t>
      </w:r>
      <w:r>
        <w:rPr>
          <w:rFonts w:ascii="Bookman Old Style" w:hAnsi="Bookman Old Style"/>
          <w:color w:val="000000"/>
          <w:sz w:val="28"/>
          <w:szCs w:val="28"/>
          <w:lang w:bidi="el-GR"/>
        </w:rPr>
        <w:t xml:space="preserve">ΤΟΥ </w:t>
      </w:r>
      <w:r w:rsidR="00166BDD">
        <w:rPr>
          <w:rFonts w:ascii="Bookman Old Style" w:hAnsi="Bookman Old Style"/>
          <w:color w:val="000000"/>
          <w:sz w:val="28"/>
          <w:szCs w:val="28"/>
          <w:lang w:bidi="el-GR"/>
        </w:rPr>
        <w:t>ΚΕΦ</w:t>
      </w:r>
      <w:r>
        <w:rPr>
          <w:rFonts w:ascii="Bookman Old Style" w:hAnsi="Bookman Old Style"/>
          <w:color w:val="000000"/>
          <w:sz w:val="28"/>
          <w:szCs w:val="28"/>
          <w:lang w:bidi="el-GR"/>
        </w:rPr>
        <w:t>.</w:t>
      </w:r>
      <w:r w:rsidR="00166BDD">
        <w:rPr>
          <w:rFonts w:ascii="Bookman Old Style" w:hAnsi="Bookman Old Style"/>
          <w:color w:val="000000"/>
          <w:sz w:val="28"/>
          <w:szCs w:val="28"/>
          <w:lang w:bidi="el-GR"/>
        </w:rPr>
        <w:t xml:space="preserve"> 105 ΚΑΙ ΤΟΝ ΤΡΟΠΟΠΟΙΗΤΙΚΟ ΝΟΜΟ 105(Ι)/2016.</w:t>
      </w:r>
    </w:p>
    <w:p w14:paraId="4570EAA7" w14:textId="77777777" w:rsidR="00384DF3" w:rsidRDefault="00384DF3" w:rsidP="00384DF3">
      <w:pPr>
        <w:pStyle w:val="Bodytext20"/>
        <w:shd w:val="clear" w:color="auto" w:fill="auto"/>
        <w:spacing w:before="0" w:line="276" w:lineRule="auto"/>
        <w:ind w:right="-35"/>
        <w:rPr>
          <w:rFonts w:ascii="Bookman Old Style" w:hAnsi="Bookman Old Style"/>
          <w:color w:val="000000"/>
          <w:sz w:val="28"/>
          <w:szCs w:val="28"/>
          <w:lang w:bidi="el-GR"/>
        </w:rPr>
      </w:pPr>
    </w:p>
    <w:p w14:paraId="6C3521B5" w14:textId="77777777" w:rsidR="00317E3B" w:rsidRDefault="00317E3B" w:rsidP="00384DF3">
      <w:pPr>
        <w:spacing w:line="276" w:lineRule="auto"/>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4D5B0C06" w14:textId="77777777" w:rsidR="00317E3B" w:rsidRDefault="00317E3B" w:rsidP="00317E3B">
      <w:pPr>
        <w:ind w:left="397" w:right="-35" w:hanging="113"/>
        <w:jc w:val="both"/>
        <w:rPr>
          <w:rFonts w:ascii="Bookman Old Style" w:hAnsi="Bookman Old Style" w:cs="Arial"/>
          <w:i/>
          <w:iCs/>
          <w:sz w:val="28"/>
          <w:szCs w:val="28"/>
          <w:lang w:val="el-GR"/>
        </w:rPr>
      </w:pPr>
    </w:p>
    <w:p w14:paraId="13100994" w14:textId="77777777" w:rsidR="002420BB" w:rsidRDefault="002420BB" w:rsidP="006C2374">
      <w:pPr>
        <w:spacing w:line="276" w:lineRule="auto"/>
        <w:ind w:right="-35" w:hanging="113"/>
        <w:jc w:val="both"/>
        <w:rPr>
          <w:rFonts w:ascii="Bookman Old Style" w:hAnsi="Bookman Old Style" w:cs="Arial"/>
          <w:i/>
          <w:iCs/>
          <w:sz w:val="28"/>
          <w:szCs w:val="28"/>
          <w:lang w:val="el-GR"/>
        </w:rPr>
      </w:pPr>
    </w:p>
    <w:p w14:paraId="225E3645" w14:textId="4F0F2520" w:rsidR="004C29CA" w:rsidRDefault="00317E3B" w:rsidP="006C2374">
      <w:pPr>
        <w:spacing w:line="276" w:lineRule="auto"/>
        <w:ind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t>Χρ. Χριστοδουλίδης</w:t>
      </w:r>
      <w:r w:rsidR="005B2486">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για το</w:t>
      </w:r>
      <w:r>
        <w:rPr>
          <w:rFonts w:ascii="Bookman Old Style" w:hAnsi="Bookman Old Style" w:cs="Arial"/>
          <w:iCs/>
          <w:sz w:val="28"/>
          <w:szCs w:val="28"/>
          <w:lang w:val="el-GR"/>
        </w:rPr>
        <w:t xml:space="preserve">ν </w:t>
      </w:r>
      <w:proofErr w:type="spellStart"/>
      <w:r>
        <w:rPr>
          <w:rFonts w:ascii="Bookman Old Style" w:hAnsi="Bookman Old Style" w:cs="Arial"/>
          <w:iCs/>
          <w:sz w:val="28"/>
          <w:szCs w:val="28"/>
          <w:lang w:val="el-GR"/>
        </w:rPr>
        <w:t>Αιτητή</w:t>
      </w:r>
      <w:proofErr w:type="spellEnd"/>
      <w:r w:rsidR="004C29CA" w:rsidRPr="007A0D8E">
        <w:rPr>
          <w:rFonts w:ascii="Bookman Old Style" w:hAnsi="Bookman Old Style" w:cs="Arial"/>
          <w:iCs/>
          <w:sz w:val="28"/>
          <w:szCs w:val="28"/>
          <w:lang w:val="el-GR"/>
        </w:rPr>
        <w:t>.</w:t>
      </w:r>
    </w:p>
    <w:p w14:paraId="36D31C9A" w14:textId="77777777" w:rsidR="00317E3B" w:rsidRDefault="00317E3B" w:rsidP="00384DF3">
      <w:pPr>
        <w:spacing w:line="276" w:lineRule="auto"/>
        <w:ind w:left="397" w:right="-35" w:hanging="113"/>
        <w:jc w:val="both"/>
        <w:rPr>
          <w:rFonts w:ascii="Bookman Old Style" w:hAnsi="Bookman Old Style" w:cs="Arial"/>
          <w:iCs/>
          <w:sz w:val="28"/>
          <w:szCs w:val="28"/>
          <w:lang w:val="el-GR"/>
        </w:rPr>
      </w:pPr>
    </w:p>
    <w:p w14:paraId="16071A63" w14:textId="176F9451" w:rsidR="00317E3B" w:rsidRDefault="007848E4" w:rsidP="006C2374">
      <w:pPr>
        <w:spacing w:line="276" w:lineRule="auto"/>
        <w:ind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 xml:space="preserve">Α. Ρούσου (κα) και Π. </w:t>
      </w:r>
      <w:proofErr w:type="spellStart"/>
      <w:r>
        <w:rPr>
          <w:rFonts w:ascii="Bookman Old Style" w:hAnsi="Bookman Old Style" w:cs="Arial"/>
          <w:i/>
          <w:sz w:val="28"/>
          <w:szCs w:val="28"/>
          <w:lang w:val="el-GR"/>
        </w:rPr>
        <w:t>Βρυωνίδου</w:t>
      </w:r>
      <w:proofErr w:type="spellEnd"/>
      <w:r>
        <w:rPr>
          <w:rFonts w:ascii="Bookman Old Style" w:hAnsi="Bookman Old Style" w:cs="Arial"/>
          <w:i/>
          <w:sz w:val="28"/>
          <w:szCs w:val="28"/>
          <w:lang w:val="el-GR"/>
        </w:rPr>
        <w:t xml:space="preserve"> (κα)</w:t>
      </w:r>
      <w:r>
        <w:rPr>
          <w:rFonts w:ascii="Bookman Old Style" w:hAnsi="Bookman Old Style" w:cs="Arial"/>
          <w:iCs/>
          <w:sz w:val="28"/>
          <w:szCs w:val="28"/>
          <w:lang w:val="el-GR"/>
        </w:rPr>
        <w:t xml:space="preserve">, Δικηγόροι της Δημοκρατίας, εκ μέρους του Γενικού Εισαγγελέα, για </w:t>
      </w:r>
      <w:r w:rsidR="009F1849">
        <w:rPr>
          <w:rFonts w:ascii="Bookman Old Style" w:hAnsi="Bookman Old Style" w:cs="Arial"/>
          <w:iCs/>
          <w:sz w:val="28"/>
          <w:szCs w:val="28"/>
          <w:lang w:val="el-GR"/>
        </w:rPr>
        <w:t xml:space="preserve">τους </w:t>
      </w:r>
      <w:proofErr w:type="spellStart"/>
      <w:r w:rsidR="009F1849">
        <w:rPr>
          <w:rFonts w:ascii="Bookman Old Style" w:hAnsi="Bookman Old Style" w:cs="Arial"/>
          <w:iCs/>
          <w:sz w:val="28"/>
          <w:szCs w:val="28"/>
          <w:lang w:val="el-GR"/>
        </w:rPr>
        <w:t>Καθ’ων</w:t>
      </w:r>
      <w:proofErr w:type="spellEnd"/>
      <w:r w:rsidR="009F1849">
        <w:rPr>
          <w:rFonts w:ascii="Bookman Old Style" w:hAnsi="Bookman Old Style" w:cs="Arial"/>
          <w:iCs/>
          <w:sz w:val="28"/>
          <w:szCs w:val="28"/>
          <w:lang w:val="el-GR"/>
        </w:rPr>
        <w:t xml:space="preserve"> η Αίτηση</w:t>
      </w:r>
      <w:r>
        <w:rPr>
          <w:rFonts w:ascii="Bookman Old Style" w:hAnsi="Bookman Old Style" w:cs="Arial"/>
          <w:iCs/>
          <w:sz w:val="28"/>
          <w:szCs w:val="28"/>
          <w:lang w:val="el-GR"/>
        </w:rPr>
        <w:t>.</w:t>
      </w:r>
    </w:p>
    <w:p w14:paraId="120D30B4" w14:textId="77777777" w:rsidR="00384DF3" w:rsidRDefault="00384DF3" w:rsidP="0000790C">
      <w:pPr>
        <w:spacing w:line="360" w:lineRule="auto"/>
        <w:ind w:right="-35"/>
        <w:jc w:val="center"/>
        <w:rPr>
          <w:rFonts w:ascii="Bookman Old Style" w:hAnsi="Bookman Old Style" w:cs="Arial"/>
          <w:b/>
          <w:bCs/>
          <w:caps/>
          <w:sz w:val="34"/>
          <w:szCs w:val="34"/>
          <w:u w:val="thick"/>
          <w:lang w:val="el-GR"/>
        </w:rPr>
      </w:pPr>
    </w:p>
    <w:p w14:paraId="59A28F11" w14:textId="77777777" w:rsidR="002420BB" w:rsidRDefault="002420BB" w:rsidP="0000790C">
      <w:pPr>
        <w:spacing w:line="360" w:lineRule="auto"/>
        <w:ind w:right="-35"/>
        <w:jc w:val="center"/>
        <w:rPr>
          <w:rFonts w:ascii="Bookman Old Style" w:hAnsi="Bookman Old Style" w:cs="Arial"/>
          <w:b/>
          <w:bCs/>
          <w:caps/>
          <w:sz w:val="34"/>
          <w:szCs w:val="34"/>
          <w:u w:val="thick"/>
          <w:lang w:val="el-GR"/>
        </w:rPr>
      </w:pPr>
    </w:p>
    <w:p w14:paraId="50B940B3" w14:textId="77777777" w:rsidR="002420BB" w:rsidRDefault="002420BB" w:rsidP="0000790C">
      <w:pPr>
        <w:spacing w:line="360" w:lineRule="auto"/>
        <w:ind w:right="-35"/>
        <w:jc w:val="center"/>
        <w:rPr>
          <w:rFonts w:ascii="Bookman Old Style" w:hAnsi="Bookman Old Style" w:cs="Arial"/>
          <w:b/>
          <w:bCs/>
          <w:caps/>
          <w:sz w:val="34"/>
          <w:szCs w:val="34"/>
          <w:u w:val="thick"/>
          <w:lang w:val="el-GR"/>
        </w:rPr>
      </w:pPr>
    </w:p>
    <w:p w14:paraId="412939F3" w14:textId="77777777" w:rsidR="002420BB" w:rsidRDefault="002420BB" w:rsidP="0000790C">
      <w:pPr>
        <w:spacing w:line="360" w:lineRule="auto"/>
        <w:ind w:right="-35"/>
        <w:jc w:val="center"/>
        <w:rPr>
          <w:rFonts w:ascii="Bookman Old Style" w:hAnsi="Bookman Old Style" w:cs="Arial"/>
          <w:b/>
          <w:bCs/>
          <w:caps/>
          <w:sz w:val="34"/>
          <w:szCs w:val="34"/>
          <w:u w:val="thick"/>
          <w:lang w:val="el-GR"/>
        </w:rPr>
      </w:pPr>
    </w:p>
    <w:p w14:paraId="5080FDCF" w14:textId="07DBB075" w:rsidR="004C29CA" w:rsidRPr="005614AF" w:rsidRDefault="004C29CA" w:rsidP="0000790C">
      <w:pPr>
        <w:spacing w:line="360" w:lineRule="auto"/>
        <w:ind w:right="-35"/>
        <w:jc w:val="center"/>
        <w:rPr>
          <w:rFonts w:ascii="Bookman Old Style" w:hAnsi="Bookman Old Style" w:cs="Arial"/>
          <w:b/>
          <w:bCs/>
          <w:caps/>
          <w:sz w:val="36"/>
          <w:szCs w:val="36"/>
          <w:u w:val="thick"/>
          <w:lang w:val="el-GR"/>
        </w:rPr>
      </w:pPr>
      <w:r w:rsidRPr="005614AF">
        <w:rPr>
          <w:rFonts w:ascii="Bookman Old Style" w:hAnsi="Bookman Old Style" w:cs="Arial"/>
          <w:b/>
          <w:bCs/>
          <w:caps/>
          <w:sz w:val="36"/>
          <w:szCs w:val="36"/>
          <w:u w:val="thick"/>
          <w:lang w:val="el-GR"/>
        </w:rPr>
        <w:lastRenderedPageBreak/>
        <w:t>Α Π Ο Φ Α Σ Η</w:t>
      </w:r>
    </w:p>
    <w:p w14:paraId="3896FA42" w14:textId="49758A04" w:rsidR="005614AF" w:rsidRPr="005614AF" w:rsidRDefault="005614AF" w:rsidP="005614AF">
      <w:pPr>
        <w:spacing w:line="360" w:lineRule="auto"/>
        <w:ind w:right="-35"/>
        <w:rPr>
          <w:rFonts w:ascii="Bookman Old Style" w:hAnsi="Bookman Old Style" w:cs="Arial"/>
          <w:b/>
          <w:bCs/>
          <w:caps/>
          <w:sz w:val="28"/>
          <w:szCs w:val="28"/>
          <w:lang w:val="el-GR"/>
        </w:rPr>
      </w:pPr>
      <w:r w:rsidRPr="005614AF">
        <w:rPr>
          <w:rFonts w:ascii="Bookman Old Style" w:hAnsi="Bookman Old Style" w:cs="Arial"/>
          <w:b/>
          <w:bCs/>
          <w:caps/>
          <w:sz w:val="34"/>
          <w:szCs w:val="34"/>
          <w:lang w:val="el-GR"/>
        </w:rPr>
        <w:t xml:space="preserve">                    </w:t>
      </w:r>
      <w:r>
        <w:rPr>
          <w:rFonts w:ascii="Bookman Old Style" w:hAnsi="Bookman Old Style" w:cs="Arial"/>
          <w:b/>
          <w:bCs/>
          <w:caps/>
          <w:sz w:val="34"/>
          <w:szCs w:val="34"/>
          <w:lang w:val="el-GR"/>
        </w:rPr>
        <w:t xml:space="preserve">       </w:t>
      </w:r>
      <w:r w:rsidRPr="005614AF">
        <w:rPr>
          <w:rFonts w:ascii="Bookman Old Style" w:hAnsi="Bookman Old Style" w:cs="Arial"/>
          <w:b/>
          <w:bCs/>
          <w:caps/>
          <w:sz w:val="28"/>
          <w:szCs w:val="28"/>
          <w:lang w:val="el-GR"/>
        </w:rPr>
        <w:t>(Δοθείσα Αυθημερόν)</w:t>
      </w:r>
    </w:p>
    <w:p w14:paraId="7F95CEC7" w14:textId="77777777" w:rsidR="004C29CA" w:rsidRDefault="004C29CA" w:rsidP="0000790C">
      <w:pPr>
        <w:tabs>
          <w:tab w:val="left" w:pos="624"/>
        </w:tabs>
        <w:ind w:left="681" w:right="-35" w:hanging="397"/>
        <w:jc w:val="both"/>
        <w:rPr>
          <w:rFonts w:ascii="Bookman Old Style" w:hAnsi="Bookman Old Style" w:cs="Arial"/>
          <w:b/>
          <w:bCs/>
          <w:sz w:val="28"/>
          <w:szCs w:val="28"/>
          <w:lang w:val="el-GR"/>
        </w:rPr>
      </w:pPr>
    </w:p>
    <w:p w14:paraId="312AADAB" w14:textId="77777777" w:rsidR="0008462C" w:rsidRPr="007A0D8E" w:rsidRDefault="0008462C" w:rsidP="0000790C">
      <w:pPr>
        <w:tabs>
          <w:tab w:val="left" w:pos="624"/>
        </w:tabs>
        <w:ind w:left="681" w:right="-35" w:hanging="397"/>
        <w:jc w:val="both"/>
        <w:rPr>
          <w:rFonts w:ascii="Bookman Old Style" w:hAnsi="Bookman Old Style" w:cs="Arial"/>
          <w:b/>
          <w:bCs/>
          <w:sz w:val="28"/>
          <w:szCs w:val="28"/>
          <w:lang w:val="el-GR"/>
        </w:rPr>
      </w:pPr>
    </w:p>
    <w:p w14:paraId="2E3FDBA3" w14:textId="1B10ABAA" w:rsidR="00DC1CD2" w:rsidRDefault="00384DF3" w:rsidP="00DC1CD2">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DC1CD2" w:rsidRPr="008518F5">
        <w:rPr>
          <w:rFonts w:ascii="Bookman Old Style" w:hAnsi="Bookman Old Style" w:cs="Arial"/>
          <w:b/>
          <w:sz w:val="28"/>
          <w:szCs w:val="28"/>
          <w:lang w:val="el-GR"/>
        </w:rPr>
        <w:t>ΔΗΜΗΤΡΙΑΔΟΥ-ΑΝΔΡΕΟΥ, Δ</w:t>
      </w:r>
      <w:r w:rsidR="00DC1CD2" w:rsidRPr="008518F5">
        <w:rPr>
          <w:rFonts w:ascii="Bookman Old Style" w:hAnsi="Bookman Old Style" w:cs="Arial"/>
          <w:sz w:val="28"/>
          <w:szCs w:val="28"/>
          <w:lang w:val="el-GR"/>
        </w:rPr>
        <w:t xml:space="preserve">.: </w:t>
      </w:r>
      <w:r w:rsidR="00DC1CD2">
        <w:rPr>
          <w:rFonts w:ascii="Bookman Old Style" w:hAnsi="Bookman Old Style" w:cs="Arial"/>
          <w:sz w:val="28"/>
          <w:szCs w:val="28"/>
          <w:lang w:val="el-GR"/>
        </w:rPr>
        <w:t xml:space="preserve">Ο </w:t>
      </w:r>
      <w:proofErr w:type="spellStart"/>
      <w:r w:rsidR="00DC1CD2">
        <w:rPr>
          <w:rFonts w:ascii="Bookman Old Style" w:hAnsi="Bookman Old Style" w:cs="Arial"/>
          <w:sz w:val="28"/>
          <w:szCs w:val="28"/>
          <w:lang w:val="el-GR"/>
        </w:rPr>
        <w:t>Αιτητής</w:t>
      </w:r>
      <w:proofErr w:type="spellEnd"/>
      <w:r w:rsidR="00DC1CD2">
        <w:rPr>
          <w:rFonts w:ascii="Bookman Old Style" w:hAnsi="Bookman Old Style" w:cs="Arial"/>
          <w:sz w:val="28"/>
          <w:szCs w:val="28"/>
          <w:lang w:val="el-GR"/>
        </w:rPr>
        <w:t xml:space="preserve"> αιτείται την έκδοση Προνομιακού Εντάλματος</w:t>
      </w:r>
      <w:r w:rsidR="00DC1CD2" w:rsidRPr="00BF0D9F">
        <w:rPr>
          <w:rFonts w:ascii="Bookman Old Style" w:hAnsi="Bookman Old Style" w:cs="Arial"/>
          <w:sz w:val="28"/>
          <w:szCs w:val="28"/>
          <w:lang w:val="el-GR"/>
        </w:rPr>
        <w:t xml:space="preserve"> </w:t>
      </w:r>
      <w:r w:rsidR="00DC1CD2">
        <w:rPr>
          <w:rFonts w:ascii="Bookman Old Style" w:hAnsi="Bookman Old Style" w:cs="Arial"/>
          <w:i/>
          <w:iCs/>
          <w:sz w:val="28"/>
          <w:szCs w:val="28"/>
          <w:lang w:val="en-US"/>
        </w:rPr>
        <w:t>Habeas</w:t>
      </w:r>
      <w:r w:rsidR="00DC1CD2" w:rsidRPr="00BF0D9F">
        <w:rPr>
          <w:rFonts w:ascii="Bookman Old Style" w:hAnsi="Bookman Old Style" w:cs="Arial"/>
          <w:i/>
          <w:iCs/>
          <w:sz w:val="28"/>
          <w:szCs w:val="28"/>
          <w:lang w:val="el-GR"/>
        </w:rPr>
        <w:t xml:space="preserve"> </w:t>
      </w:r>
      <w:r w:rsidR="00DC1CD2">
        <w:rPr>
          <w:rFonts w:ascii="Bookman Old Style" w:hAnsi="Bookman Old Style" w:cs="Arial"/>
          <w:i/>
          <w:iCs/>
          <w:sz w:val="28"/>
          <w:szCs w:val="28"/>
          <w:lang w:val="en-US"/>
        </w:rPr>
        <w:t>Corpus</w:t>
      </w:r>
      <w:r w:rsidR="00DC1CD2">
        <w:rPr>
          <w:rFonts w:ascii="Bookman Old Style" w:hAnsi="Bookman Old Style" w:cs="Arial"/>
          <w:i/>
          <w:iCs/>
          <w:sz w:val="28"/>
          <w:szCs w:val="28"/>
          <w:lang w:val="el-GR"/>
        </w:rPr>
        <w:t xml:space="preserve"> </w:t>
      </w:r>
      <w:r w:rsidR="00DC1CD2">
        <w:rPr>
          <w:rFonts w:ascii="Bookman Old Style" w:hAnsi="Bookman Old Style" w:cs="Arial"/>
          <w:i/>
          <w:iCs/>
          <w:sz w:val="28"/>
          <w:szCs w:val="28"/>
          <w:lang w:val="en-US"/>
        </w:rPr>
        <w:t>ad</w:t>
      </w:r>
      <w:r w:rsidR="00DC1CD2" w:rsidRPr="00BF0D9F">
        <w:rPr>
          <w:rFonts w:ascii="Bookman Old Style" w:hAnsi="Bookman Old Style" w:cs="Arial"/>
          <w:i/>
          <w:iCs/>
          <w:sz w:val="28"/>
          <w:szCs w:val="28"/>
          <w:lang w:val="el-GR"/>
        </w:rPr>
        <w:t xml:space="preserve"> </w:t>
      </w:r>
      <w:r w:rsidR="00DC1CD2">
        <w:rPr>
          <w:rFonts w:ascii="Bookman Old Style" w:hAnsi="Bookman Old Style" w:cs="Arial"/>
          <w:i/>
          <w:iCs/>
          <w:sz w:val="28"/>
          <w:szCs w:val="28"/>
          <w:lang w:val="en-US"/>
        </w:rPr>
        <w:t>Subjiciendum</w:t>
      </w:r>
      <w:r w:rsidR="00DC1CD2">
        <w:rPr>
          <w:rFonts w:ascii="Bookman Old Style" w:hAnsi="Bookman Old Style" w:cs="Arial"/>
          <w:sz w:val="28"/>
          <w:szCs w:val="28"/>
          <w:lang w:val="el-GR"/>
        </w:rPr>
        <w:t xml:space="preserve"> ώστε να αφεθεί ελεύθερος γιατί, όπως διατείνεται, η διάρκεια κράτησης του για σκοπούς απέλασης καθιστά την κράτηση του παράνομη. </w:t>
      </w:r>
    </w:p>
    <w:p w14:paraId="62D9D1B5" w14:textId="77777777" w:rsidR="00DC1CD2" w:rsidRDefault="00DC1CD2" w:rsidP="00DC1CD2">
      <w:pPr>
        <w:spacing w:line="480" w:lineRule="auto"/>
        <w:ind w:right="-35"/>
        <w:jc w:val="both"/>
        <w:rPr>
          <w:rFonts w:ascii="Bookman Old Style" w:hAnsi="Bookman Old Style" w:cs="Arial"/>
          <w:sz w:val="28"/>
          <w:szCs w:val="28"/>
          <w:lang w:val="el-GR"/>
        </w:rPr>
      </w:pPr>
    </w:p>
    <w:p w14:paraId="594EF042" w14:textId="6B88D070" w:rsidR="00DC1CD2" w:rsidRDefault="00DC1CD2" w:rsidP="00DC1CD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Αίτηση υποστηρίζεται από Ένορκη Δήλωση του ιδίου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w:t>
      </w:r>
      <w:r w:rsidR="002420BB">
        <w:rPr>
          <w:rFonts w:ascii="Bookman Old Style" w:hAnsi="Bookman Old Style" w:cs="Arial"/>
          <w:sz w:val="28"/>
          <w:szCs w:val="28"/>
          <w:lang w:val="el-GR"/>
        </w:rPr>
        <w:t xml:space="preserve">                 </w:t>
      </w:r>
      <w:r>
        <w:rPr>
          <w:rFonts w:ascii="Bookman Old Style" w:hAnsi="Bookman Old Style" w:cs="Arial"/>
          <w:sz w:val="28"/>
          <w:szCs w:val="28"/>
          <w:lang w:val="el-GR"/>
        </w:rPr>
        <w:t>Η Δημοκρατία καταχώρισε ειδοποίηση πρόθεσης ένστασης που υποστηρίζεται από</w:t>
      </w:r>
      <w:r w:rsidR="009B21C3">
        <w:rPr>
          <w:rFonts w:ascii="Bookman Old Style" w:hAnsi="Bookman Old Style" w:cs="Arial"/>
          <w:sz w:val="28"/>
          <w:szCs w:val="28"/>
          <w:lang w:val="el-GR"/>
        </w:rPr>
        <w:t xml:space="preserve"> την</w:t>
      </w:r>
      <w:r>
        <w:rPr>
          <w:rFonts w:ascii="Bookman Old Style" w:hAnsi="Bookman Old Style" w:cs="Arial"/>
          <w:sz w:val="28"/>
          <w:szCs w:val="28"/>
          <w:lang w:val="el-GR"/>
        </w:rPr>
        <w:t xml:space="preserve"> ένορκη δήλωση </w:t>
      </w:r>
      <w:r w:rsidR="009B21C3">
        <w:rPr>
          <w:rFonts w:ascii="Bookman Old Style" w:hAnsi="Bookman Old Style" w:cs="Arial"/>
          <w:sz w:val="28"/>
          <w:szCs w:val="28"/>
          <w:lang w:val="el-GR"/>
        </w:rPr>
        <w:t xml:space="preserve"> του Ανδρέα </w:t>
      </w:r>
      <w:proofErr w:type="spellStart"/>
      <w:r w:rsidR="009B21C3">
        <w:rPr>
          <w:rFonts w:ascii="Bookman Old Style" w:hAnsi="Bookman Old Style" w:cs="Arial"/>
          <w:sz w:val="28"/>
          <w:szCs w:val="28"/>
          <w:lang w:val="el-GR"/>
        </w:rPr>
        <w:t>Μαζέρη</w:t>
      </w:r>
      <w:proofErr w:type="spellEnd"/>
      <w:r w:rsidR="009B21C3">
        <w:rPr>
          <w:rFonts w:ascii="Bookman Old Style" w:hAnsi="Bookman Old Style" w:cs="Arial"/>
          <w:sz w:val="28"/>
          <w:szCs w:val="28"/>
          <w:lang w:val="el-GR"/>
        </w:rPr>
        <w:t xml:space="preserve">, </w:t>
      </w:r>
      <w:r>
        <w:rPr>
          <w:rFonts w:ascii="Bookman Old Style" w:hAnsi="Bookman Old Style" w:cs="Arial"/>
          <w:sz w:val="28"/>
          <w:szCs w:val="28"/>
          <w:lang w:val="el-GR"/>
        </w:rPr>
        <w:t xml:space="preserve">Λειτουργού στο Τμήμα Αρχείου, Πληθυσμού και Μετανάστευσης (εφεξής ΤΑΠΜ). </w:t>
      </w:r>
    </w:p>
    <w:p w14:paraId="4463F635" w14:textId="77777777" w:rsidR="00DC1CD2" w:rsidRDefault="00DC1CD2" w:rsidP="00DC1CD2">
      <w:pPr>
        <w:spacing w:line="480" w:lineRule="auto"/>
        <w:ind w:right="-35"/>
        <w:jc w:val="both"/>
        <w:rPr>
          <w:rFonts w:ascii="Bookman Old Style" w:hAnsi="Bookman Old Style" w:cs="Arial"/>
          <w:sz w:val="28"/>
          <w:szCs w:val="28"/>
          <w:lang w:val="el-GR"/>
        </w:rPr>
      </w:pPr>
    </w:p>
    <w:p w14:paraId="49E92E1D" w14:textId="77777777" w:rsidR="00DC1CD2" w:rsidRDefault="00DC1CD2" w:rsidP="00DC1CD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αδιαμφισβήτητο ιστορικό, όπως αυτό προκύπτει τόσο μέσα από την Ένορκη Δήλωση που υποστηρίζει την Αίτηση, όσο και μέσα από την Ένορκη Δήλωση που υποστηρίζει την Ένσταση, σε συνάρτηση και με τα σχετικά έγγραφα που κατατέθηκαν ως τεκμήρια ενώπιον του Δικαστηρίου είναι, σε γενικές γραμμές, το ακόλουθο:</w:t>
      </w:r>
    </w:p>
    <w:p w14:paraId="119AE6BB" w14:textId="77777777" w:rsidR="00DC1CD2" w:rsidRDefault="00DC1CD2" w:rsidP="00DC1CD2">
      <w:pPr>
        <w:spacing w:line="480" w:lineRule="auto"/>
        <w:ind w:right="-35"/>
        <w:jc w:val="both"/>
        <w:rPr>
          <w:rFonts w:ascii="Bookman Old Style" w:hAnsi="Bookman Old Style" w:cs="Arial"/>
          <w:sz w:val="28"/>
          <w:szCs w:val="28"/>
          <w:lang w:val="el-GR"/>
        </w:rPr>
      </w:pPr>
    </w:p>
    <w:p w14:paraId="7E923F63"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είναι υπήκοος Σρι </w:t>
      </w:r>
      <w:proofErr w:type="spellStart"/>
      <w:r>
        <w:rPr>
          <w:rFonts w:ascii="Bookman Old Style" w:hAnsi="Bookman Old Style" w:cs="Arial"/>
          <w:sz w:val="28"/>
          <w:szCs w:val="28"/>
          <w:lang w:val="el-GR"/>
        </w:rPr>
        <w:t>Λάνκας</w:t>
      </w:r>
      <w:proofErr w:type="spellEnd"/>
      <w:r>
        <w:rPr>
          <w:rFonts w:ascii="Bookman Old Style" w:hAnsi="Bookman Old Style" w:cs="Arial"/>
          <w:sz w:val="28"/>
          <w:szCs w:val="28"/>
          <w:lang w:val="el-GR"/>
        </w:rPr>
        <w:t xml:space="preserve"> ο οποίος </w:t>
      </w:r>
      <w:proofErr w:type="spellStart"/>
      <w:r>
        <w:rPr>
          <w:rFonts w:ascii="Bookman Old Style" w:hAnsi="Bookman Old Style" w:cs="Arial"/>
          <w:sz w:val="28"/>
          <w:szCs w:val="28"/>
          <w:lang w:val="el-GR"/>
        </w:rPr>
        <w:t>αφίχθη</w:t>
      </w:r>
      <w:proofErr w:type="spellEnd"/>
      <w:r>
        <w:rPr>
          <w:rFonts w:ascii="Bookman Old Style" w:hAnsi="Bookman Old Style" w:cs="Arial"/>
          <w:sz w:val="28"/>
          <w:szCs w:val="28"/>
          <w:lang w:val="el-GR"/>
        </w:rPr>
        <w:t xml:space="preserve"> στη Δημοκρατία στις 10/8/2014 με άδεια εισόδου ως οικιακός βοηθός. Μέχρι τις 30/5/2018 κατείχε άδεια διαμονής ως οικιακός βοηθός. </w:t>
      </w:r>
    </w:p>
    <w:p w14:paraId="4B96C6A7"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15/6/2016 υπέβαλε αίτηση διεθνούς προστασίας. </w:t>
      </w:r>
    </w:p>
    <w:p w14:paraId="724FE116"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4/1/2017 καθότι υπήρχαν υποψίες για εμπλοκή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σε εικονικό γάμο, το γραφείο διερεύνησης γνησιότητας γάμων με επιστολή του ανέφερε ότι, σε περίπτωση απόρριψης της αίτησης του από την Υπηρεσία Ασύλου να σταλεί εκ νέου ο φάκελος του για εντοπισμό και σύλληψή του. </w:t>
      </w:r>
    </w:p>
    <w:p w14:paraId="7D7B02D2"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23/1/2017 </w:t>
      </w:r>
      <w:proofErr w:type="spellStart"/>
      <w:r>
        <w:rPr>
          <w:rFonts w:ascii="Bookman Old Style" w:hAnsi="Bookman Old Style" w:cs="Arial"/>
          <w:sz w:val="28"/>
          <w:szCs w:val="28"/>
          <w:lang w:val="el-GR"/>
        </w:rPr>
        <w:t>απερρίφθη</w:t>
      </w:r>
      <w:proofErr w:type="spellEnd"/>
      <w:r>
        <w:rPr>
          <w:rFonts w:ascii="Bookman Old Style" w:hAnsi="Bookman Old Style" w:cs="Arial"/>
          <w:sz w:val="28"/>
          <w:szCs w:val="28"/>
          <w:lang w:val="el-GR"/>
        </w:rPr>
        <w:t xml:space="preserve"> πρωτοβάθμια η αίτηση του για άσυλο. Στις 5/10/2018 </w:t>
      </w:r>
      <w:proofErr w:type="spellStart"/>
      <w:r>
        <w:rPr>
          <w:rFonts w:ascii="Bookman Old Style" w:hAnsi="Bookman Old Style" w:cs="Arial"/>
          <w:sz w:val="28"/>
          <w:szCs w:val="28"/>
          <w:lang w:val="el-GR"/>
        </w:rPr>
        <w:t>απερρίφθη</w:t>
      </w:r>
      <w:proofErr w:type="spellEnd"/>
      <w:r>
        <w:rPr>
          <w:rFonts w:ascii="Bookman Old Style" w:hAnsi="Bookman Old Style" w:cs="Arial"/>
          <w:sz w:val="28"/>
          <w:szCs w:val="28"/>
          <w:lang w:val="el-GR"/>
        </w:rPr>
        <w:t xml:space="preserve"> και η προσφυγή που υπέβαλε στην Αναθεωρητική Αρχή. Στις 26/11/2019 </w:t>
      </w:r>
      <w:proofErr w:type="spellStart"/>
      <w:r>
        <w:rPr>
          <w:rFonts w:ascii="Bookman Old Style" w:hAnsi="Bookman Old Style" w:cs="Arial"/>
          <w:sz w:val="28"/>
          <w:szCs w:val="28"/>
          <w:lang w:val="el-GR"/>
        </w:rPr>
        <w:t>απερρίφθη</w:t>
      </w:r>
      <w:proofErr w:type="spellEnd"/>
      <w:r>
        <w:rPr>
          <w:rFonts w:ascii="Bookman Old Style" w:hAnsi="Bookman Old Style" w:cs="Arial"/>
          <w:sz w:val="28"/>
          <w:szCs w:val="28"/>
          <w:lang w:val="el-GR"/>
        </w:rPr>
        <w:t xml:space="preserve"> η Προσφυγή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1664/2018 που καταχώρισε στο Ανώτατο Δικαστήριο. </w:t>
      </w:r>
    </w:p>
    <w:p w14:paraId="73283FFA"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10/10/2020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συνελήφθη στη Λεμεσό για παράνομη παραμονή στη Δημοκρατία. </w:t>
      </w:r>
    </w:p>
    <w:p w14:paraId="6A2B463D"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12/10/2020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υπέβαλε μεταγενέστερη αίτηση ασύλου και τα Διατάγματα Κράτησης και Απέλασης ακυρώθηκαν. </w:t>
      </w:r>
    </w:p>
    <w:p w14:paraId="19328C12"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εξέτισε ποινή φυλάκισης μέχρι τις 9/9/2021 για εντάλματα προστίμου. </w:t>
      </w:r>
    </w:p>
    <w:p w14:paraId="43345652"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18/12/2021 </w:t>
      </w:r>
      <w:proofErr w:type="spellStart"/>
      <w:r>
        <w:rPr>
          <w:rFonts w:ascii="Bookman Old Style" w:hAnsi="Bookman Old Style" w:cs="Arial"/>
          <w:sz w:val="28"/>
          <w:szCs w:val="28"/>
          <w:lang w:val="el-GR"/>
        </w:rPr>
        <w:t>απερρίφθη</w:t>
      </w:r>
      <w:proofErr w:type="spellEnd"/>
      <w:r>
        <w:rPr>
          <w:rFonts w:ascii="Bookman Old Style" w:hAnsi="Bookman Old Style" w:cs="Arial"/>
          <w:sz w:val="28"/>
          <w:szCs w:val="28"/>
          <w:lang w:val="el-GR"/>
        </w:rPr>
        <w:t xml:space="preserve"> η μεταγενέστερη αίτηση του για άσυλο. </w:t>
      </w:r>
    </w:p>
    <w:p w14:paraId="49E06214"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Την 1/3/2023 συνελήφθη στη Λεμεσό για παράνομη παραμονή στη Δημοκρατία. </w:t>
      </w:r>
    </w:p>
    <w:p w14:paraId="401F6E62"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2/3/2023 εναντίον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εξεδόθη</w:t>
      </w:r>
      <w:proofErr w:type="spellEnd"/>
      <w:r>
        <w:rPr>
          <w:rFonts w:ascii="Bookman Old Style" w:hAnsi="Bookman Old Style" w:cs="Arial"/>
          <w:sz w:val="28"/>
          <w:szCs w:val="28"/>
          <w:lang w:val="el-GR"/>
        </w:rPr>
        <w:t xml:space="preserve"> Διάταγμα Κράτησης και Απέλασης δυνάμει του </w:t>
      </w:r>
      <w:r>
        <w:rPr>
          <w:rFonts w:ascii="Bookman Old Style" w:hAnsi="Bookman Old Style" w:cs="Arial"/>
          <w:b/>
          <w:bCs/>
          <w:i/>
          <w:iCs/>
          <w:sz w:val="28"/>
          <w:szCs w:val="28"/>
          <w:lang w:val="el-GR"/>
        </w:rPr>
        <w:t>Άρθρου 14 του περί Αλλοδαπών και Μετανάστευσης Νόμου, Κεφ. 105</w:t>
      </w:r>
      <w:r>
        <w:rPr>
          <w:rFonts w:ascii="Bookman Old Style" w:hAnsi="Bookman Old Style" w:cs="Arial"/>
          <w:sz w:val="28"/>
          <w:szCs w:val="28"/>
          <w:lang w:val="el-GR"/>
        </w:rPr>
        <w:t xml:space="preserve">. </w:t>
      </w:r>
    </w:p>
    <w:p w14:paraId="10DA8CA2" w14:textId="1117FA42"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w:t>
      </w:r>
      <w:bookmarkStart w:id="0" w:name="_Hlk155639804"/>
      <w:r>
        <w:rPr>
          <w:rFonts w:ascii="Bookman Old Style" w:hAnsi="Bookman Old Style" w:cs="Arial"/>
          <w:sz w:val="28"/>
          <w:szCs w:val="28"/>
          <w:lang w:val="el-GR"/>
        </w:rPr>
        <w:t>10/5/2023, 3/7/2023</w:t>
      </w:r>
      <w:r w:rsidR="00D51071">
        <w:rPr>
          <w:rFonts w:ascii="Bookman Old Style" w:hAnsi="Bookman Old Style" w:cs="Arial"/>
          <w:sz w:val="28"/>
          <w:szCs w:val="28"/>
          <w:lang w:val="el-GR"/>
        </w:rPr>
        <w:t>,</w:t>
      </w:r>
      <w:r>
        <w:rPr>
          <w:rFonts w:ascii="Bookman Old Style" w:hAnsi="Bookman Old Style" w:cs="Arial"/>
          <w:sz w:val="28"/>
          <w:szCs w:val="28"/>
          <w:lang w:val="el-GR"/>
        </w:rPr>
        <w:t xml:space="preserve"> 5/9/2023 και 6/11/2023 </w:t>
      </w:r>
      <w:bookmarkEnd w:id="0"/>
      <w:r>
        <w:rPr>
          <w:rFonts w:ascii="Bookman Old Style" w:hAnsi="Bookman Old Style" w:cs="Arial"/>
          <w:sz w:val="28"/>
          <w:szCs w:val="28"/>
          <w:lang w:val="el-GR"/>
        </w:rPr>
        <w:t xml:space="preserve">εγκρίθηκε από το ΤΑΠΜ η συνέχιση της κράτησης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w:t>
      </w:r>
    </w:p>
    <w:p w14:paraId="2B51CCF6"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23/6/2023 η Προσφυγή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668/2023 που είχε καταχωρηθεί από τον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απερρίφθη</w:t>
      </w:r>
      <w:proofErr w:type="spellEnd"/>
      <w:r>
        <w:rPr>
          <w:rFonts w:ascii="Bookman Old Style" w:hAnsi="Bookman Old Style" w:cs="Arial"/>
          <w:sz w:val="28"/>
          <w:szCs w:val="28"/>
          <w:lang w:val="el-GR"/>
        </w:rPr>
        <w:t xml:space="preserve"> από το Διοικητικό Δικαστήριο λόγω απόσυρσής της.</w:t>
      </w:r>
    </w:p>
    <w:p w14:paraId="7C30D65A" w14:textId="77777777"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12/10/2023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προσέβαλε</w:t>
      </w:r>
      <w:proofErr w:type="spellEnd"/>
      <w:r>
        <w:rPr>
          <w:rFonts w:ascii="Bookman Old Style" w:hAnsi="Bookman Old Style" w:cs="Arial"/>
          <w:sz w:val="28"/>
          <w:szCs w:val="28"/>
          <w:lang w:val="el-GR"/>
        </w:rPr>
        <w:t xml:space="preserve"> την απόρριψη του αιτήματος του για επανεξέταση της κράτησης του με την Προσφυγή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1717/2023.</w:t>
      </w:r>
    </w:p>
    <w:p w14:paraId="3C2D8A6C" w14:textId="6244505F" w:rsidR="00A740F6" w:rsidRDefault="00A740F6"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30/5/2023 ο </w:t>
      </w:r>
      <w:proofErr w:type="spellStart"/>
      <w:r>
        <w:rPr>
          <w:rFonts w:ascii="Bookman Old Style" w:hAnsi="Bookman Old Style" w:cs="Arial"/>
          <w:sz w:val="28"/>
          <w:szCs w:val="28"/>
          <w:lang w:val="el-GR"/>
        </w:rPr>
        <w:t>Αιτητής</w:t>
      </w:r>
      <w:proofErr w:type="spellEnd"/>
      <w:r>
        <w:rPr>
          <w:rFonts w:ascii="Bookman Old Style" w:hAnsi="Bookman Old Style" w:cs="Arial"/>
          <w:sz w:val="28"/>
          <w:szCs w:val="28"/>
          <w:lang w:val="el-GR"/>
        </w:rPr>
        <w:t xml:space="preserve"> </w:t>
      </w:r>
      <w:r w:rsidR="00BF062D">
        <w:rPr>
          <w:rFonts w:ascii="Bookman Old Style" w:hAnsi="Bookman Old Style" w:cs="Arial"/>
          <w:sz w:val="28"/>
          <w:szCs w:val="28"/>
          <w:lang w:val="el-GR"/>
        </w:rPr>
        <w:t xml:space="preserve">αρνήθηκε να συνεργαστεί για μεταφορά του στο αεροδρόμιο Λάρνακας για εκτέλεση προγραμματισμένης απέλασης του και επαναπατρισμό του. </w:t>
      </w:r>
    </w:p>
    <w:p w14:paraId="789C247E" w14:textId="25FC7106" w:rsidR="00DC1CD2" w:rsidRDefault="00DC1CD2" w:rsidP="00DC1CD2">
      <w:pPr>
        <w:pStyle w:val="ListParagraph"/>
        <w:numPr>
          <w:ilvl w:val="0"/>
          <w:numId w:val="20"/>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διαδικασία απέλασης του </w:t>
      </w:r>
      <w:proofErr w:type="spellStart"/>
      <w:r>
        <w:rPr>
          <w:rFonts w:ascii="Bookman Old Style" w:hAnsi="Bookman Old Style" w:cs="Arial"/>
          <w:sz w:val="28"/>
          <w:szCs w:val="28"/>
          <w:lang w:val="el-GR"/>
        </w:rPr>
        <w:t>Αιτητή</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αναστάληκε</w:t>
      </w:r>
      <w:proofErr w:type="spellEnd"/>
      <w:r>
        <w:rPr>
          <w:rFonts w:ascii="Bookman Old Style" w:hAnsi="Bookman Old Style" w:cs="Arial"/>
          <w:sz w:val="28"/>
          <w:szCs w:val="28"/>
          <w:lang w:val="el-GR"/>
        </w:rPr>
        <w:t xml:space="preserve"> μέχρι την εξέταση του παραπόνου</w:t>
      </w:r>
      <w:r w:rsidR="00BF062D">
        <w:rPr>
          <w:rFonts w:ascii="Bookman Old Style" w:hAnsi="Bookman Old Style" w:cs="Arial"/>
          <w:sz w:val="28"/>
          <w:szCs w:val="28"/>
          <w:lang w:val="el-GR"/>
        </w:rPr>
        <w:t xml:space="preserve"> που αυτός υπέβαλε</w:t>
      </w:r>
      <w:r>
        <w:rPr>
          <w:rFonts w:ascii="Bookman Old Style" w:hAnsi="Bookman Old Style" w:cs="Arial"/>
          <w:sz w:val="28"/>
          <w:szCs w:val="28"/>
          <w:lang w:val="el-GR"/>
        </w:rPr>
        <w:t xml:space="preserve"> κατά της Αστυνομίας,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8/6/2023</w:t>
      </w:r>
      <w:r w:rsidR="00BF062D">
        <w:rPr>
          <w:rFonts w:ascii="Bookman Old Style" w:hAnsi="Bookman Old Style" w:cs="Arial"/>
          <w:sz w:val="28"/>
          <w:szCs w:val="28"/>
          <w:lang w:val="el-GR"/>
        </w:rPr>
        <w:t>.</w:t>
      </w:r>
    </w:p>
    <w:p w14:paraId="1930E1E6" w14:textId="77777777" w:rsidR="00DC1CD2" w:rsidRDefault="00DC1CD2" w:rsidP="00DC1CD2">
      <w:pPr>
        <w:spacing w:line="480" w:lineRule="auto"/>
        <w:ind w:right="-35"/>
        <w:jc w:val="both"/>
        <w:rPr>
          <w:rFonts w:ascii="Bookman Old Style" w:hAnsi="Bookman Old Style" w:cs="Arial"/>
          <w:sz w:val="28"/>
          <w:szCs w:val="28"/>
          <w:lang w:val="el-GR"/>
        </w:rPr>
      </w:pPr>
    </w:p>
    <w:p w14:paraId="0356EC3B" w14:textId="02D33A75" w:rsidR="00DC1CD2" w:rsidRDefault="00DC1CD2" w:rsidP="00384DF3">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Όπως είναι καλά γνωστό, το Προνομιακό Ένταλμα της φύσεως </w:t>
      </w:r>
      <w:r>
        <w:rPr>
          <w:rFonts w:ascii="Bookman Old Style" w:hAnsi="Bookman Old Style"/>
          <w:i/>
          <w:iCs/>
          <w:sz w:val="28"/>
          <w:szCs w:val="28"/>
          <w:lang w:val="en-US"/>
        </w:rPr>
        <w:t>Habeas</w:t>
      </w:r>
      <w:r>
        <w:rPr>
          <w:rFonts w:ascii="Bookman Old Style" w:hAnsi="Bookman Old Style"/>
          <w:i/>
          <w:iCs/>
          <w:sz w:val="28"/>
          <w:szCs w:val="28"/>
          <w:lang w:val="el-GR"/>
        </w:rPr>
        <w:t xml:space="preserve"> </w:t>
      </w:r>
      <w:r>
        <w:rPr>
          <w:rFonts w:ascii="Bookman Old Style" w:hAnsi="Bookman Old Style"/>
          <w:i/>
          <w:iCs/>
          <w:sz w:val="28"/>
          <w:szCs w:val="28"/>
          <w:lang w:val="en-US"/>
        </w:rPr>
        <w:t>Corpus</w:t>
      </w:r>
      <w:r>
        <w:rPr>
          <w:rFonts w:ascii="Bookman Old Style" w:hAnsi="Bookman Old Style"/>
          <w:i/>
          <w:iCs/>
          <w:sz w:val="28"/>
          <w:szCs w:val="28"/>
          <w:lang w:val="el-GR"/>
        </w:rPr>
        <w:t xml:space="preserve"> </w:t>
      </w:r>
      <w:r>
        <w:rPr>
          <w:rFonts w:ascii="Bookman Old Style" w:hAnsi="Bookman Old Style"/>
          <w:i/>
          <w:iCs/>
          <w:sz w:val="28"/>
          <w:szCs w:val="28"/>
          <w:lang w:val="en-US"/>
        </w:rPr>
        <w:t>ad</w:t>
      </w:r>
      <w:r>
        <w:rPr>
          <w:rFonts w:ascii="Bookman Old Style" w:hAnsi="Bookman Old Style"/>
          <w:i/>
          <w:iCs/>
          <w:sz w:val="28"/>
          <w:szCs w:val="28"/>
          <w:lang w:val="el-GR"/>
        </w:rPr>
        <w:t xml:space="preserve"> </w:t>
      </w:r>
      <w:r>
        <w:rPr>
          <w:rFonts w:ascii="Bookman Old Style" w:hAnsi="Bookman Old Style"/>
          <w:i/>
          <w:iCs/>
          <w:sz w:val="28"/>
          <w:szCs w:val="28"/>
          <w:lang w:val="en-US"/>
        </w:rPr>
        <w:t>Subjiciendum</w:t>
      </w:r>
      <w:r>
        <w:rPr>
          <w:rFonts w:ascii="Bookman Old Style" w:hAnsi="Bookman Old Style"/>
          <w:i/>
          <w:iCs/>
          <w:sz w:val="28"/>
          <w:szCs w:val="28"/>
          <w:lang w:val="el-GR"/>
        </w:rPr>
        <w:t xml:space="preserve"> </w:t>
      </w:r>
      <w:r>
        <w:rPr>
          <w:rFonts w:ascii="Bookman Old Style" w:hAnsi="Bookman Old Style"/>
          <w:sz w:val="28"/>
          <w:szCs w:val="28"/>
          <w:lang w:val="el-GR"/>
        </w:rPr>
        <w:t xml:space="preserve">διασφαλίζει την ελευθερία του ατόμου. Όπως αναφέρθηκε στην υπόθεση </w:t>
      </w:r>
      <w:r>
        <w:rPr>
          <w:rFonts w:ascii="Bookman Old Style" w:hAnsi="Bookman Old Style"/>
          <w:b/>
          <w:bCs/>
          <w:i/>
          <w:iCs/>
          <w:sz w:val="28"/>
          <w:szCs w:val="28"/>
          <w:lang w:val="el-GR"/>
        </w:rPr>
        <w:t>Δημητράκης Χατζησάββα (1993) 1 Α.Α.Δ. 102</w:t>
      </w:r>
      <w:r>
        <w:rPr>
          <w:rFonts w:ascii="Bookman Old Style" w:hAnsi="Bookman Old Style"/>
          <w:sz w:val="28"/>
          <w:szCs w:val="28"/>
          <w:lang w:val="el-GR"/>
        </w:rPr>
        <w:t>, «</w:t>
      </w:r>
      <w:r>
        <w:rPr>
          <w:rFonts w:ascii="Bookman Old Style" w:hAnsi="Bookman Old Style"/>
          <w:i/>
          <w:iCs/>
          <w:sz w:val="28"/>
          <w:szCs w:val="28"/>
          <w:lang w:val="el-GR"/>
        </w:rPr>
        <w:t xml:space="preserve">Το </w:t>
      </w:r>
      <w:r>
        <w:rPr>
          <w:rFonts w:ascii="Bookman Old Style" w:hAnsi="Bookman Old Style"/>
          <w:i/>
          <w:iCs/>
          <w:sz w:val="28"/>
          <w:szCs w:val="28"/>
          <w:lang w:val="en-US"/>
        </w:rPr>
        <w:t>Habeas</w:t>
      </w:r>
      <w:r>
        <w:rPr>
          <w:rFonts w:ascii="Bookman Old Style" w:hAnsi="Bookman Old Style"/>
          <w:i/>
          <w:iCs/>
          <w:sz w:val="28"/>
          <w:szCs w:val="28"/>
          <w:lang w:val="el-GR"/>
        </w:rPr>
        <w:t xml:space="preserve"> </w:t>
      </w:r>
      <w:r>
        <w:rPr>
          <w:rFonts w:ascii="Bookman Old Style" w:hAnsi="Bookman Old Style"/>
          <w:i/>
          <w:iCs/>
          <w:sz w:val="28"/>
          <w:szCs w:val="28"/>
          <w:lang w:val="en-US"/>
        </w:rPr>
        <w:t>Corpus</w:t>
      </w:r>
      <w:r>
        <w:rPr>
          <w:rFonts w:ascii="Bookman Old Style" w:hAnsi="Bookman Old Style"/>
          <w:i/>
          <w:iCs/>
          <w:sz w:val="28"/>
          <w:szCs w:val="28"/>
          <w:lang w:val="el-GR"/>
        </w:rPr>
        <w:t xml:space="preserve"> </w:t>
      </w:r>
      <w:r>
        <w:rPr>
          <w:rFonts w:ascii="Bookman Old Style" w:hAnsi="Bookman Old Style"/>
          <w:i/>
          <w:iCs/>
          <w:sz w:val="28"/>
          <w:szCs w:val="28"/>
          <w:lang w:val="en-US"/>
        </w:rPr>
        <w:t>ad</w:t>
      </w:r>
      <w:r>
        <w:rPr>
          <w:rFonts w:ascii="Bookman Old Style" w:hAnsi="Bookman Old Style"/>
          <w:i/>
          <w:iCs/>
          <w:sz w:val="28"/>
          <w:szCs w:val="28"/>
          <w:lang w:val="el-GR"/>
        </w:rPr>
        <w:t xml:space="preserve"> </w:t>
      </w:r>
      <w:r>
        <w:rPr>
          <w:rFonts w:ascii="Bookman Old Style" w:hAnsi="Bookman Old Style"/>
          <w:i/>
          <w:iCs/>
          <w:sz w:val="28"/>
          <w:szCs w:val="28"/>
          <w:lang w:val="en-US"/>
        </w:rPr>
        <w:t>subjiciendum</w:t>
      </w:r>
      <w:r>
        <w:rPr>
          <w:rFonts w:ascii="Bookman Old Style" w:hAnsi="Bookman Old Style"/>
          <w:i/>
          <w:iCs/>
          <w:sz w:val="28"/>
          <w:szCs w:val="28"/>
          <w:lang w:val="el-GR"/>
        </w:rPr>
        <w:t xml:space="preserve"> είναι προνομιακή διαδικασία για τη διασφάλιση της ελευθερίας του πολίτη. Παρέχει αποτελεσματικό μέσο άμεσης απελευθέρωσης από παράνομη ή αδικαιολόγητη πράξη, είτε στη φυλακή, είτε σε ιδιωτικό χώρο, από αρχή ή ιδιώτη</w:t>
      </w:r>
      <w:r>
        <w:rPr>
          <w:rFonts w:ascii="Bookman Old Style" w:hAnsi="Bookman Old Style"/>
          <w:sz w:val="28"/>
          <w:szCs w:val="28"/>
          <w:lang w:val="el-GR"/>
        </w:rPr>
        <w:t>». Απαραίτητη προϋπόθεση για έκδοση του εντάλματος συνιστά η απόδειξη εκ μέρους του αιτούντος του παράνομου της κράτησης ή φυλάκισης (</w:t>
      </w:r>
      <w:r>
        <w:rPr>
          <w:rFonts w:ascii="Bookman Old Style" w:hAnsi="Bookman Old Style"/>
          <w:b/>
          <w:bCs/>
          <w:i/>
          <w:iCs/>
          <w:sz w:val="28"/>
          <w:szCs w:val="28"/>
          <w:lang w:val="el-GR"/>
        </w:rPr>
        <w:t>Καλφοπούλου (1998)                   1 Α.Α.Δ. 55</w:t>
      </w:r>
      <w:r>
        <w:rPr>
          <w:rFonts w:ascii="Bookman Old Style" w:hAnsi="Bookman Old Style"/>
          <w:sz w:val="28"/>
          <w:szCs w:val="28"/>
          <w:lang w:val="el-GR"/>
        </w:rPr>
        <w:t xml:space="preserve">). Με τη διαδικασία του εντάλματος </w:t>
      </w:r>
      <w:r>
        <w:rPr>
          <w:rFonts w:ascii="Bookman Old Style" w:hAnsi="Bookman Old Style"/>
          <w:i/>
          <w:iCs/>
          <w:sz w:val="28"/>
          <w:szCs w:val="28"/>
          <w:lang w:val="en-US"/>
        </w:rPr>
        <w:t>Habeas</w:t>
      </w:r>
      <w:r>
        <w:rPr>
          <w:rFonts w:ascii="Bookman Old Style" w:hAnsi="Bookman Old Style"/>
          <w:i/>
          <w:iCs/>
          <w:sz w:val="28"/>
          <w:szCs w:val="28"/>
          <w:lang w:val="el-GR"/>
        </w:rPr>
        <w:t xml:space="preserve"> </w:t>
      </w:r>
      <w:r>
        <w:rPr>
          <w:rFonts w:ascii="Bookman Old Style" w:hAnsi="Bookman Old Style"/>
          <w:i/>
          <w:iCs/>
          <w:sz w:val="28"/>
          <w:szCs w:val="28"/>
          <w:lang w:val="en-US"/>
        </w:rPr>
        <w:t>Corpus</w:t>
      </w:r>
      <w:r>
        <w:rPr>
          <w:rFonts w:ascii="Bookman Old Style" w:hAnsi="Bookman Old Style"/>
          <w:sz w:val="28"/>
          <w:szCs w:val="28"/>
          <w:lang w:val="el-GR"/>
        </w:rPr>
        <w:t xml:space="preserve"> ό,τι επιδιώκεται είναι η διασφάλιση του δικαιώματος της ελευθερίας δια της άμεσης απελευθέρωσης του </w:t>
      </w:r>
      <w:proofErr w:type="spellStart"/>
      <w:r w:rsidR="009F1849">
        <w:rPr>
          <w:rFonts w:ascii="Bookman Old Style" w:hAnsi="Bookman Old Style"/>
          <w:sz w:val="28"/>
          <w:szCs w:val="28"/>
          <w:lang w:val="el-GR"/>
        </w:rPr>
        <w:t>α</w:t>
      </w:r>
      <w:r>
        <w:rPr>
          <w:rFonts w:ascii="Bookman Old Style" w:hAnsi="Bookman Old Style"/>
          <w:sz w:val="28"/>
          <w:szCs w:val="28"/>
          <w:lang w:val="el-GR"/>
        </w:rPr>
        <w:t>ιτητή</w:t>
      </w:r>
      <w:proofErr w:type="spellEnd"/>
      <w:r>
        <w:rPr>
          <w:rFonts w:ascii="Bookman Old Style" w:hAnsi="Bookman Old Style"/>
          <w:sz w:val="28"/>
          <w:szCs w:val="28"/>
          <w:lang w:val="el-GR"/>
        </w:rPr>
        <w:t xml:space="preserve"> ο οποίος, κατ’ ισχυρισμό τελεί υπό παράνομη κράτηση. Οποτεδήποτε στο πλαίσιο της εν λόγω διαδικασίας διαπιστώνεται κάτι τέτοιο, το σχετικό διάταγμα εκδίδεται δικαιωματικά και όχι ως θέμα άσκησης διακριτικής εξουσίας, οπότε 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αφήνεται ευθύς ελεύθερος (</w:t>
      </w:r>
      <w:r>
        <w:rPr>
          <w:rFonts w:ascii="Bookman Old Style" w:hAnsi="Bookman Old Style"/>
          <w:b/>
          <w:bCs/>
          <w:i/>
          <w:iCs/>
          <w:sz w:val="28"/>
          <w:szCs w:val="28"/>
          <w:lang w:val="en-US"/>
        </w:rPr>
        <w:t>Green</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v</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Home</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Secretary</w:t>
      </w:r>
      <w:r>
        <w:rPr>
          <w:rFonts w:ascii="Bookman Old Style" w:hAnsi="Bookman Old Style"/>
          <w:b/>
          <w:bCs/>
          <w:i/>
          <w:iCs/>
          <w:sz w:val="28"/>
          <w:szCs w:val="28"/>
          <w:lang w:val="el-GR"/>
        </w:rPr>
        <w:t xml:space="preserve"> [1941] 3 </w:t>
      </w:r>
      <w:r>
        <w:rPr>
          <w:rFonts w:ascii="Bookman Old Style" w:hAnsi="Bookman Old Style"/>
          <w:b/>
          <w:bCs/>
          <w:i/>
          <w:iCs/>
          <w:sz w:val="28"/>
          <w:szCs w:val="28"/>
          <w:lang w:val="en-US"/>
        </w:rPr>
        <w:t>All</w:t>
      </w:r>
      <w:r>
        <w:rPr>
          <w:rFonts w:ascii="Bookman Old Style" w:hAnsi="Bookman Old Style"/>
          <w:b/>
          <w:bCs/>
          <w:i/>
          <w:iCs/>
          <w:sz w:val="28"/>
          <w:szCs w:val="28"/>
          <w:lang w:val="el-GR"/>
        </w:rPr>
        <w:t xml:space="preserve"> </w:t>
      </w:r>
      <w:r>
        <w:rPr>
          <w:rFonts w:ascii="Bookman Old Style" w:hAnsi="Bookman Old Style"/>
          <w:b/>
          <w:bCs/>
          <w:i/>
          <w:iCs/>
          <w:sz w:val="28"/>
          <w:szCs w:val="28"/>
          <w:lang w:val="en-US"/>
        </w:rPr>
        <w:t>E</w:t>
      </w:r>
      <w:r>
        <w:rPr>
          <w:rFonts w:ascii="Bookman Old Style" w:hAnsi="Bookman Old Style"/>
          <w:b/>
          <w:bCs/>
          <w:i/>
          <w:iCs/>
          <w:sz w:val="28"/>
          <w:szCs w:val="28"/>
          <w:lang w:val="el-GR"/>
        </w:rPr>
        <w:t>.</w:t>
      </w:r>
      <w:r>
        <w:rPr>
          <w:rFonts w:ascii="Bookman Old Style" w:hAnsi="Bookman Old Style"/>
          <w:b/>
          <w:bCs/>
          <w:i/>
          <w:iCs/>
          <w:sz w:val="28"/>
          <w:szCs w:val="28"/>
          <w:lang w:val="en-US"/>
        </w:rPr>
        <w:t>R</w:t>
      </w:r>
      <w:r>
        <w:rPr>
          <w:rFonts w:ascii="Bookman Old Style" w:hAnsi="Bookman Old Style"/>
          <w:b/>
          <w:bCs/>
          <w:i/>
          <w:iCs/>
          <w:sz w:val="28"/>
          <w:szCs w:val="28"/>
          <w:lang w:val="el-GR"/>
        </w:rPr>
        <w:t xml:space="preserve">. </w:t>
      </w:r>
      <w:proofErr w:type="gramStart"/>
      <w:r>
        <w:rPr>
          <w:rFonts w:ascii="Bookman Old Style" w:hAnsi="Bookman Old Style"/>
          <w:b/>
          <w:bCs/>
          <w:i/>
          <w:iCs/>
          <w:sz w:val="28"/>
          <w:szCs w:val="28"/>
          <w:lang w:val="el-GR"/>
        </w:rPr>
        <w:t>388,  σελ.</w:t>
      </w:r>
      <w:proofErr w:type="gramEnd"/>
      <w:r>
        <w:rPr>
          <w:rFonts w:ascii="Bookman Old Style" w:hAnsi="Bookman Old Style"/>
          <w:b/>
          <w:bCs/>
          <w:i/>
          <w:iCs/>
          <w:sz w:val="28"/>
          <w:szCs w:val="28"/>
          <w:lang w:val="el-GR"/>
        </w:rPr>
        <w:t xml:space="preserve"> 400</w:t>
      </w:r>
      <w:r>
        <w:rPr>
          <w:rFonts w:ascii="Bookman Old Style" w:hAnsi="Bookman Old Style"/>
          <w:sz w:val="28"/>
          <w:szCs w:val="28"/>
          <w:lang w:val="el-GR"/>
        </w:rPr>
        <w:t>).</w:t>
      </w:r>
    </w:p>
    <w:p w14:paraId="732C67DA" w14:textId="77777777" w:rsidR="00384DF3" w:rsidRDefault="00384DF3" w:rsidP="00384DF3">
      <w:pPr>
        <w:spacing w:line="480" w:lineRule="auto"/>
        <w:jc w:val="both"/>
        <w:rPr>
          <w:rFonts w:ascii="Bookman Old Style" w:hAnsi="Bookman Old Style"/>
          <w:sz w:val="28"/>
          <w:szCs w:val="28"/>
          <w:lang w:val="el-GR"/>
        </w:rPr>
      </w:pPr>
    </w:p>
    <w:p w14:paraId="30BE91FB" w14:textId="7C763D91" w:rsidR="00384DF3" w:rsidRPr="00384DF3" w:rsidRDefault="00384DF3" w:rsidP="00384DF3">
      <w:pPr>
        <w:overflowPunct w:val="0"/>
        <w:spacing w:line="480" w:lineRule="auto"/>
        <w:ind w:right="62"/>
        <w:jc w:val="both"/>
        <w:rPr>
          <w:rFonts w:ascii="Bookman Old Style" w:hAnsi="Bookman Old Style"/>
          <w:sz w:val="28"/>
          <w:szCs w:val="28"/>
          <w:lang w:val="el-GR"/>
        </w:rPr>
      </w:pPr>
      <w:r w:rsidRPr="00384DF3">
        <w:rPr>
          <w:rFonts w:ascii="Bookman Old Style" w:hAnsi="Bookman Old Style"/>
          <w:sz w:val="28"/>
          <w:szCs w:val="28"/>
          <w:lang w:val="el-GR"/>
        </w:rPr>
        <w:t xml:space="preserve">Από τα ενώπιον μου στοιχεία είναι σαφές ότι οι </w:t>
      </w:r>
      <w:proofErr w:type="spellStart"/>
      <w:r w:rsidRPr="00384DF3">
        <w:rPr>
          <w:rFonts w:ascii="Bookman Old Style" w:hAnsi="Bookman Old Style"/>
          <w:sz w:val="28"/>
          <w:szCs w:val="28"/>
          <w:lang w:val="el-GR"/>
        </w:rPr>
        <w:t>Καθ’ων</w:t>
      </w:r>
      <w:proofErr w:type="spellEnd"/>
      <w:r w:rsidRPr="00384DF3">
        <w:rPr>
          <w:rFonts w:ascii="Bookman Old Style" w:hAnsi="Bookman Old Style"/>
          <w:sz w:val="28"/>
          <w:szCs w:val="28"/>
          <w:lang w:val="el-GR"/>
        </w:rPr>
        <w:t xml:space="preserve"> η Αίτηση ενέταξαν την υπό κρίση κράτηση του </w:t>
      </w:r>
      <w:proofErr w:type="spellStart"/>
      <w:r w:rsidRPr="00384DF3">
        <w:rPr>
          <w:rFonts w:ascii="Bookman Old Style" w:hAnsi="Bookman Old Style"/>
          <w:sz w:val="28"/>
          <w:szCs w:val="28"/>
          <w:lang w:val="el-GR"/>
        </w:rPr>
        <w:t>Αιτητή</w:t>
      </w:r>
      <w:proofErr w:type="spellEnd"/>
      <w:r w:rsidRPr="00384DF3">
        <w:rPr>
          <w:rFonts w:ascii="Bookman Old Style" w:hAnsi="Bookman Old Style"/>
          <w:sz w:val="28"/>
          <w:szCs w:val="28"/>
          <w:lang w:val="el-GR"/>
        </w:rPr>
        <w:t xml:space="preserve"> στις πρόνοιες του </w:t>
      </w:r>
      <w:r w:rsidRPr="00384DF3">
        <w:rPr>
          <w:rFonts w:ascii="Bookman Old Style" w:hAnsi="Bookman Old Style"/>
          <w:b/>
          <w:bCs/>
          <w:i/>
          <w:iCs/>
          <w:sz w:val="28"/>
          <w:szCs w:val="28"/>
          <w:lang w:val="el-GR"/>
        </w:rPr>
        <w:t>Άρθρου 18ΠΣΤ</w:t>
      </w:r>
      <w:r w:rsidRPr="00384DF3">
        <w:rPr>
          <w:rFonts w:ascii="Bookman Old Style" w:hAnsi="Bookman Old Style"/>
          <w:sz w:val="28"/>
          <w:szCs w:val="28"/>
          <w:lang w:val="el-GR"/>
        </w:rPr>
        <w:t xml:space="preserve"> του </w:t>
      </w:r>
      <w:r w:rsidRPr="00384DF3">
        <w:rPr>
          <w:rFonts w:ascii="Bookman Old Style" w:hAnsi="Bookman Old Style"/>
          <w:b/>
          <w:bCs/>
          <w:i/>
          <w:iCs/>
          <w:sz w:val="28"/>
          <w:szCs w:val="28"/>
          <w:lang w:val="el-GR"/>
        </w:rPr>
        <w:t>περί Αλλοδαπών και Μεταναστεύσεως Νόμου, Κεφ. 105</w:t>
      </w:r>
      <w:r w:rsidRPr="00384DF3">
        <w:rPr>
          <w:rFonts w:ascii="Bookman Old Style" w:hAnsi="Bookman Old Style"/>
          <w:i/>
          <w:iCs/>
          <w:sz w:val="28"/>
          <w:szCs w:val="28"/>
          <w:lang w:val="el-GR"/>
        </w:rPr>
        <w:t>.</w:t>
      </w:r>
    </w:p>
    <w:p w14:paraId="19F31663" w14:textId="77777777" w:rsidR="00384DF3" w:rsidRPr="00384DF3" w:rsidRDefault="00384DF3" w:rsidP="00384DF3">
      <w:pPr>
        <w:overflowPunct w:val="0"/>
        <w:spacing w:line="480" w:lineRule="auto"/>
        <w:ind w:right="62"/>
        <w:jc w:val="both"/>
        <w:rPr>
          <w:rFonts w:ascii="Bookman Old Style" w:hAnsi="Bookman Old Style"/>
          <w:sz w:val="28"/>
          <w:szCs w:val="28"/>
          <w:lang w:val="el-GR"/>
        </w:rPr>
      </w:pPr>
      <w:r w:rsidRPr="00384DF3">
        <w:rPr>
          <w:rFonts w:ascii="Bookman Old Style" w:hAnsi="Bookman Old Style"/>
          <w:i/>
          <w:iCs/>
          <w:sz w:val="28"/>
          <w:szCs w:val="28"/>
        </w:rPr>
        <w:lastRenderedPageBreak/>
        <w:t> </w:t>
      </w:r>
    </w:p>
    <w:p w14:paraId="1DAEA364" w14:textId="70EBE6C7" w:rsidR="00384DF3" w:rsidRDefault="00384DF3" w:rsidP="00384DF3">
      <w:pPr>
        <w:overflowPunct w:val="0"/>
        <w:spacing w:line="480" w:lineRule="auto"/>
        <w:ind w:right="62"/>
        <w:jc w:val="both"/>
        <w:rPr>
          <w:rFonts w:ascii="Bookman Old Style" w:hAnsi="Bookman Old Style"/>
          <w:sz w:val="28"/>
          <w:szCs w:val="28"/>
          <w:lang w:val="el-GR"/>
        </w:rPr>
      </w:pPr>
      <w:r w:rsidRPr="00384DF3">
        <w:rPr>
          <w:rFonts w:ascii="Bookman Old Style" w:hAnsi="Bookman Old Style"/>
          <w:sz w:val="28"/>
          <w:szCs w:val="28"/>
          <w:lang w:val="el-GR"/>
        </w:rPr>
        <w:t xml:space="preserve">Το </w:t>
      </w:r>
      <w:r w:rsidRPr="00384DF3">
        <w:rPr>
          <w:rFonts w:ascii="Bookman Old Style" w:hAnsi="Bookman Old Style"/>
          <w:b/>
          <w:bCs/>
          <w:i/>
          <w:iCs/>
          <w:sz w:val="28"/>
          <w:szCs w:val="28"/>
          <w:lang w:val="el-GR"/>
        </w:rPr>
        <w:t>Άρθρο 18ΠΣΤ(5)(α)</w:t>
      </w:r>
      <w:r w:rsidRPr="00384DF3">
        <w:rPr>
          <w:rFonts w:ascii="Bookman Old Style" w:hAnsi="Bookman Old Style"/>
          <w:sz w:val="28"/>
          <w:szCs w:val="28"/>
          <w:lang w:val="el-GR"/>
        </w:rPr>
        <w:t xml:space="preserve"> του </w:t>
      </w:r>
      <w:r w:rsidRPr="00384DF3">
        <w:rPr>
          <w:rFonts w:ascii="Bookman Old Style" w:hAnsi="Bookman Old Style"/>
          <w:b/>
          <w:bCs/>
          <w:i/>
          <w:iCs/>
          <w:sz w:val="28"/>
          <w:szCs w:val="28"/>
          <w:lang w:val="el-GR"/>
        </w:rPr>
        <w:t>Κεφ. 105</w:t>
      </w:r>
      <w:r w:rsidRPr="00384DF3">
        <w:rPr>
          <w:rFonts w:ascii="Bookman Old Style" w:hAnsi="Bookman Old Style"/>
          <w:sz w:val="28"/>
          <w:szCs w:val="28"/>
          <w:lang w:val="el-GR"/>
        </w:rPr>
        <w:t xml:space="preserve"> διαλαμβάνει ότι η διάρκεια της κράτησης στη βάση του </w:t>
      </w:r>
      <w:r w:rsidRPr="00384DF3">
        <w:rPr>
          <w:rFonts w:ascii="Bookman Old Style" w:hAnsi="Bookman Old Style"/>
          <w:b/>
          <w:bCs/>
          <w:i/>
          <w:iCs/>
          <w:sz w:val="28"/>
          <w:szCs w:val="28"/>
          <w:lang w:val="el-GR"/>
        </w:rPr>
        <w:t>Άρθρου 18ΠΣΤ</w:t>
      </w:r>
      <w:r w:rsidRPr="00384DF3">
        <w:rPr>
          <w:rFonts w:ascii="Bookman Old Style" w:hAnsi="Bookman Old Style"/>
          <w:sz w:val="28"/>
          <w:szCs w:val="28"/>
          <w:lang w:val="el-GR"/>
        </w:rPr>
        <w:t xml:space="preserve"> ελέγχεται με αίτηση </w:t>
      </w:r>
      <w:r w:rsidRPr="00384DF3">
        <w:rPr>
          <w:rFonts w:ascii="Bookman Old Style" w:hAnsi="Bookman Old Style"/>
          <w:i/>
          <w:iCs/>
          <w:sz w:val="28"/>
          <w:szCs w:val="28"/>
        </w:rPr>
        <w:t>Habeas</w:t>
      </w:r>
      <w:r w:rsidRPr="00384DF3">
        <w:rPr>
          <w:rFonts w:ascii="Bookman Old Style" w:hAnsi="Bookman Old Style"/>
          <w:i/>
          <w:iCs/>
          <w:sz w:val="28"/>
          <w:szCs w:val="28"/>
          <w:lang w:val="el-GR"/>
        </w:rPr>
        <w:t xml:space="preserve"> </w:t>
      </w:r>
      <w:r w:rsidRPr="00384DF3">
        <w:rPr>
          <w:rFonts w:ascii="Bookman Old Style" w:hAnsi="Bookman Old Style"/>
          <w:i/>
          <w:iCs/>
          <w:sz w:val="28"/>
          <w:szCs w:val="28"/>
        </w:rPr>
        <w:t>Corpus</w:t>
      </w:r>
      <w:r w:rsidRPr="00384DF3">
        <w:rPr>
          <w:rFonts w:ascii="Bookman Old Style" w:hAnsi="Bookman Old Style"/>
          <w:sz w:val="28"/>
          <w:szCs w:val="28"/>
          <w:lang w:val="el-GR"/>
        </w:rPr>
        <w:t xml:space="preserve">, ενώ ο έλεγχος της νομιμότητας του διατάγματος κράτησης διενεργείται μέσω προσφυγής με βάση τα διαλαμβανόμενα στο </w:t>
      </w:r>
      <w:r w:rsidRPr="00384DF3">
        <w:rPr>
          <w:rFonts w:ascii="Bookman Old Style" w:hAnsi="Bookman Old Style"/>
          <w:b/>
          <w:bCs/>
          <w:i/>
          <w:iCs/>
          <w:sz w:val="28"/>
          <w:szCs w:val="28"/>
          <w:lang w:val="el-GR"/>
        </w:rPr>
        <w:t>Άρθρο</w:t>
      </w:r>
      <w:r w:rsidRPr="00384DF3">
        <w:rPr>
          <w:rFonts w:ascii="Bookman Old Style" w:hAnsi="Bookman Old Style"/>
          <w:sz w:val="28"/>
          <w:szCs w:val="28"/>
          <w:lang w:val="el-GR"/>
        </w:rPr>
        <w:t xml:space="preserve"> </w:t>
      </w:r>
      <w:r w:rsidRPr="00384DF3">
        <w:rPr>
          <w:rFonts w:ascii="Bookman Old Style" w:hAnsi="Bookman Old Style"/>
          <w:b/>
          <w:bCs/>
          <w:i/>
          <w:iCs/>
          <w:sz w:val="28"/>
          <w:szCs w:val="28"/>
          <w:lang w:val="el-GR"/>
        </w:rPr>
        <w:t>18ΠΣΤ(3)(α)</w:t>
      </w:r>
      <w:r w:rsidRPr="00384DF3">
        <w:rPr>
          <w:rFonts w:ascii="Bookman Old Style" w:hAnsi="Bookman Old Style"/>
          <w:sz w:val="28"/>
          <w:szCs w:val="28"/>
          <w:lang w:val="el-GR"/>
        </w:rPr>
        <w:t xml:space="preserve"> του Νόμου. Εν προκειμένω</w:t>
      </w:r>
      <w:r w:rsidR="00D51071">
        <w:rPr>
          <w:rFonts w:ascii="Bookman Old Style" w:hAnsi="Bookman Old Style"/>
          <w:sz w:val="28"/>
          <w:szCs w:val="28"/>
          <w:lang w:val="el-GR"/>
        </w:rPr>
        <w:t>,</w:t>
      </w:r>
      <w:r w:rsidR="009B21C3" w:rsidRPr="009B21C3">
        <w:rPr>
          <w:rFonts w:ascii="Bookman Old Style" w:hAnsi="Bookman Old Style"/>
          <w:sz w:val="28"/>
          <w:szCs w:val="28"/>
          <w:lang w:val="el-GR"/>
        </w:rPr>
        <w:t xml:space="preserve"> </w:t>
      </w:r>
      <w:r w:rsidR="009B21C3">
        <w:rPr>
          <w:rFonts w:ascii="Bookman Old Style" w:hAnsi="Bookman Old Style"/>
          <w:sz w:val="28"/>
          <w:szCs w:val="28"/>
          <w:lang w:val="el-GR"/>
        </w:rPr>
        <w:t>παρά το γεγονός ότι</w:t>
      </w:r>
      <w:r w:rsidRPr="00384DF3">
        <w:rPr>
          <w:rFonts w:ascii="Bookman Old Style" w:hAnsi="Bookman Old Style"/>
          <w:sz w:val="28"/>
          <w:szCs w:val="28"/>
          <w:lang w:val="el-GR"/>
        </w:rPr>
        <w:t xml:space="preserve"> τα </w:t>
      </w:r>
      <w:proofErr w:type="spellStart"/>
      <w:r w:rsidRPr="00384DF3">
        <w:rPr>
          <w:rFonts w:ascii="Bookman Old Style" w:hAnsi="Bookman Old Style"/>
          <w:sz w:val="28"/>
          <w:szCs w:val="28"/>
          <w:lang w:val="el-GR"/>
        </w:rPr>
        <w:t>εκδοθέντα</w:t>
      </w:r>
      <w:proofErr w:type="spellEnd"/>
      <w:r w:rsidRPr="00384DF3">
        <w:rPr>
          <w:rFonts w:ascii="Bookman Old Style" w:hAnsi="Bookman Old Style"/>
          <w:sz w:val="28"/>
          <w:szCs w:val="28"/>
          <w:lang w:val="el-GR"/>
        </w:rPr>
        <w:t xml:space="preserve"> Διατάγματα Κράτησης και Απέλασης του </w:t>
      </w:r>
      <w:proofErr w:type="spellStart"/>
      <w:r w:rsidRPr="00384DF3">
        <w:rPr>
          <w:rFonts w:ascii="Bookman Old Style" w:hAnsi="Bookman Old Style"/>
          <w:sz w:val="28"/>
          <w:szCs w:val="28"/>
          <w:lang w:val="el-GR"/>
        </w:rPr>
        <w:t>Αιτητή</w:t>
      </w:r>
      <w:proofErr w:type="spellEnd"/>
      <w:r w:rsidR="009B21C3">
        <w:rPr>
          <w:rFonts w:ascii="Bookman Old Style" w:hAnsi="Bookman Old Style"/>
          <w:sz w:val="28"/>
          <w:szCs w:val="28"/>
          <w:lang w:val="el-GR"/>
        </w:rPr>
        <w:t xml:space="preserve"> είχαν προσβληθεί με την Προσφυγή </w:t>
      </w:r>
      <w:proofErr w:type="spellStart"/>
      <w:r w:rsidR="009B21C3">
        <w:rPr>
          <w:rFonts w:ascii="Bookman Old Style" w:hAnsi="Bookman Old Style"/>
          <w:sz w:val="28"/>
          <w:szCs w:val="28"/>
          <w:lang w:val="el-GR"/>
        </w:rPr>
        <w:t>αρ</w:t>
      </w:r>
      <w:proofErr w:type="spellEnd"/>
      <w:r w:rsidR="009B21C3">
        <w:rPr>
          <w:rFonts w:ascii="Bookman Old Style" w:hAnsi="Bookman Old Style"/>
          <w:sz w:val="28"/>
          <w:szCs w:val="28"/>
          <w:lang w:val="el-GR"/>
        </w:rPr>
        <w:t xml:space="preserve">. 668/2023, κατόπιν γραπτής ειδοποίησης του </w:t>
      </w:r>
      <w:proofErr w:type="spellStart"/>
      <w:r w:rsidR="009B21C3">
        <w:rPr>
          <w:rFonts w:ascii="Bookman Old Style" w:hAnsi="Bookman Old Style"/>
          <w:sz w:val="28"/>
          <w:szCs w:val="28"/>
          <w:lang w:val="el-GR"/>
        </w:rPr>
        <w:t>Αιτητή</w:t>
      </w:r>
      <w:proofErr w:type="spellEnd"/>
      <w:r w:rsidR="009B21C3">
        <w:rPr>
          <w:rFonts w:ascii="Bookman Old Style" w:hAnsi="Bookman Old Style"/>
          <w:sz w:val="28"/>
          <w:szCs w:val="28"/>
          <w:lang w:val="el-GR"/>
        </w:rPr>
        <w:t xml:space="preserve">, η εν λόγω Προσφυγή </w:t>
      </w:r>
      <w:proofErr w:type="spellStart"/>
      <w:r w:rsidR="009B21C3">
        <w:rPr>
          <w:rFonts w:ascii="Bookman Old Style" w:hAnsi="Bookman Old Style"/>
          <w:sz w:val="28"/>
          <w:szCs w:val="28"/>
          <w:lang w:val="el-GR"/>
        </w:rPr>
        <w:t>απερρίφθη</w:t>
      </w:r>
      <w:proofErr w:type="spellEnd"/>
      <w:r w:rsidR="009B21C3">
        <w:rPr>
          <w:rFonts w:ascii="Bookman Old Style" w:hAnsi="Bookman Old Style"/>
          <w:sz w:val="28"/>
          <w:szCs w:val="28"/>
          <w:lang w:val="el-GR"/>
        </w:rPr>
        <w:t xml:space="preserve"> από το Διοικητικό Δικαστήριο ως αποσυρθείσα (βλ. </w:t>
      </w:r>
      <w:r w:rsidR="009B21C3" w:rsidRPr="009B21C3">
        <w:rPr>
          <w:rFonts w:ascii="Bookman Old Style" w:hAnsi="Bookman Old Style"/>
          <w:b/>
          <w:bCs/>
          <w:sz w:val="28"/>
          <w:szCs w:val="28"/>
          <w:lang w:val="el-GR"/>
        </w:rPr>
        <w:t>Τεκμήριο 11</w:t>
      </w:r>
      <w:r w:rsidR="009B21C3">
        <w:rPr>
          <w:rFonts w:ascii="Bookman Old Style" w:hAnsi="Bookman Old Style"/>
          <w:sz w:val="28"/>
          <w:szCs w:val="28"/>
          <w:lang w:val="el-GR"/>
        </w:rPr>
        <w:t xml:space="preserve"> στην ένορκη δήλωση </w:t>
      </w:r>
      <w:proofErr w:type="spellStart"/>
      <w:r w:rsidR="009B21C3">
        <w:rPr>
          <w:rFonts w:ascii="Bookman Old Style" w:hAnsi="Bookman Old Style"/>
          <w:sz w:val="28"/>
          <w:szCs w:val="28"/>
          <w:lang w:val="el-GR"/>
        </w:rPr>
        <w:t>Μαζέρη</w:t>
      </w:r>
      <w:proofErr w:type="spellEnd"/>
      <w:r w:rsidR="009B21C3">
        <w:rPr>
          <w:rFonts w:ascii="Bookman Old Style" w:hAnsi="Bookman Old Style"/>
          <w:sz w:val="28"/>
          <w:szCs w:val="28"/>
          <w:lang w:val="el-GR"/>
        </w:rPr>
        <w:t>)</w:t>
      </w:r>
      <w:r w:rsidR="00D51071">
        <w:rPr>
          <w:rFonts w:ascii="Bookman Old Style" w:hAnsi="Bookman Old Style"/>
          <w:sz w:val="28"/>
          <w:szCs w:val="28"/>
          <w:lang w:val="el-GR"/>
        </w:rPr>
        <w:t>,</w:t>
      </w:r>
      <w:r w:rsidR="009B21C3">
        <w:rPr>
          <w:rFonts w:ascii="Bookman Old Style" w:hAnsi="Bookman Old Style"/>
          <w:sz w:val="28"/>
          <w:szCs w:val="28"/>
          <w:lang w:val="el-GR"/>
        </w:rPr>
        <w:t xml:space="preserve"> με αποτέλεσμα τα εν λόγω Διατάγματα να</w:t>
      </w:r>
      <w:r w:rsidRPr="00384DF3">
        <w:rPr>
          <w:rFonts w:ascii="Bookman Old Style" w:hAnsi="Bookman Old Style"/>
          <w:sz w:val="28"/>
          <w:szCs w:val="28"/>
          <w:lang w:val="el-GR"/>
        </w:rPr>
        <w:t xml:space="preserve"> τεκμαίρονται νόμιμα. </w:t>
      </w:r>
      <w:r w:rsidR="009B21C3">
        <w:rPr>
          <w:rFonts w:ascii="Bookman Old Style" w:hAnsi="Bookman Old Style"/>
          <w:sz w:val="28"/>
          <w:szCs w:val="28"/>
          <w:lang w:val="el-GR"/>
        </w:rPr>
        <w:t>Δεδομένων των πιο πάνω</w:t>
      </w:r>
      <w:r w:rsidRPr="00384DF3">
        <w:rPr>
          <w:rFonts w:ascii="Bookman Old Style" w:hAnsi="Bookman Old Style"/>
          <w:sz w:val="28"/>
          <w:szCs w:val="28"/>
          <w:lang w:val="el-GR"/>
        </w:rPr>
        <w:t xml:space="preserve">, ό,τι θα μπορούσε να προσβάλει ο </w:t>
      </w:r>
      <w:proofErr w:type="spellStart"/>
      <w:r w:rsidRPr="00384DF3">
        <w:rPr>
          <w:rFonts w:ascii="Bookman Old Style" w:hAnsi="Bookman Old Style"/>
          <w:sz w:val="28"/>
          <w:szCs w:val="28"/>
          <w:lang w:val="el-GR"/>
        </w:rPr>
        <w:t>Αιτητής</w:t>
      </w:r>
      <w:proofErr w:type="spellEnd"/>
      <w:r w:rsidRPr="00384DF3">
        <w:rPr>
          <w:rFonts w:ascii="Bookman Old Style" w:hAnsi="Bookman Old Style"/>
          <w:sz w:val="28"/>
          <w:szCs w:val="28"/>
          <w:lang w:val="el-GR"/>
        </w:rPr>
        <w:t xml:space="preserve"> θα ήταν </w:t>
      </w:r>
      <w:r w:rsidR="009B21C3">
        <w:rPr>
          <w:rFonts w:ascii="Bookman Old Style" w:hAnsi="Bookman Old Style"/>
          <w:sz w:val="28"/>
          <w:szCs w:val="28"/>
          <w:lang w:val="el-GR"/>
        </w:rPr>
        <w:t>τ</w:t>
      </w:r>
      <w:r w:rsidRPr="00384DF3">
        <w:rPr>
          <w:rFonts w:ascii="Bookman Old Style" w:hAnsi="Bookman Old Style"/>
          <w:sz w:val="28"/>
          <w:szCs w:val="28"/>
          <w:lang w:val="el-GR"/>
        </w:rPr>
        <w:t>η διάρκεια της κράτησης του.</w:t>
      </w:r>
    </w:p>
    <w:p w14:paraId="7CCB4C5B" w14:textId="77777777" w:rsidR="00384DF3" w:rsidRDefault="00384DF3" w:rsidP="00384DF3">
      <w:pPr>
        <w:overflowPunct w:val="0"/>
        <w:spacing w:line="480" w:lineRule="auto"/>
        <w:ind w:right="62"/>
        <w:jc w:val="both"/>
        <w:rPr>
          <w:rFonts w:ascii="Bookman Old Style" w:hAnsi="Bookman Old Style"/>
          <w:sz w:val="28"/>
          <w:szCs w:val="28"/>
          <w:lang w:val="el-GR"/>
        </w:rPr>
      </w:pPr>
    </w:p>
    <w:p w14:paraId="05D8AE46" w14:textId="77777777" w:rsidR="00384DF3" w:rsidRDefault="00384DF3" w:rsidP="00384DF3">
      <w:pPr>
        <w:overflowPunct w:val="0"/>
        <w:spacing w:line="480" w:lineRule="auto"/>
        <w:ind w:right="62"/>
        <w:jc w:val="both"/>
        <w:rPr>
          <w:rFonts w:ascii="Bookman Old Style" w:hAnsi="Bookman Old Style"/>
          <w:sz w:val="28"/>
          <w:szCs w:val="28"/>
          <w:lang w:val="el-GR"/>
        </w:rPr>
      </w:pPr>
      <w:r w:rsidRPr="00384DF3">
        <w:rPr>
          <w:rFonts w:ascii="Bookman Old Style" w:hAnsi="Bookman Old Style"/>
          <w:sz w:val="28"/>
          <w:szCs w:val="28"/>
          <w:lang w:val="el-GR"/>
        </w:rPr>
        <w:t xml:space="preserve">Στην υπόθεση </w:t>
      </w:r>
      <w:proofErr w:type="spellStart"/>
      <w:r w:rsidRPr="00384DF3">
        <w:rPr>
          <w:rFonts w:ascii="Bookman Old Style" w:hAnsi="Bookman Old Style"/>
          <w:b/>
          <w:bCs/>
          <w:i/>
          <w:iCs/>
          <w:sz w:val="28"/>
          <w:szCs w:val="28"/>
          <w:lang w:val="el-GR"/>
        </w:rPr>
        <w:t>Guo</w:t>
      </w:r>
      <w:proofErr w:type="spellEnd"/>
      <w:r w:rsidRPr="00384DF3">
        <w:rPr>
          <w:rFonts w:ascii="Bookman Old Style" w:hAnsi="Bookman Old Style"/>
          <w:b/>
          <w:bCs/>
          <w:i/>
          <w:iCs/>
          <w:sz w:val="28"/>
          <w:szCs w:val="28"/>
          <w:lang w:val="el-GR"/>
        </w:rPr>
        <w:t xml:space="preserve"> </w:t>
      </w:r>
      <w:proofErr w:type="spellStart"/>
      <w:r w:rsidRPr="00384DF3">
        <w:rPr>
          <w:rFonts w:ascii="Bookman Old Style" w:hAnsi="Bookman Old Style"/>
          <w:b/>
          <w:bCs/>
          <w:i/>
          <w:iCs/>
          <w:sz w:val="28"/>
          <w:szCs w:val="28"/>
          <w:lang w:val="el-GR"/>
        </w:rPr>
        <w:t>Shuying</w:t>
      </w:r>
      <w:proofErr w:type="spellEnd"/>
      <w:r w:rsidRPr="00384DF3">
        <w:rPr>
          <w:rFonts w:ascii="Bookman Old Style" w:hAnsi="Bookman Old Style"/>
          <w:b/>
          <w:bCs/>
          <w:i/>
          <w:iCs/>
          <w:sz w:val="28"/>
          <w:szCs w:val="28"/>
          <w:lang w:val="el-GR"/>
        </w:rPr>
        <w:t xml:space="preserve"> v. Δημοκρατίας (2012) 1 Α.Α.Δ. 2725</w:t>
      </w:r>
      <w:r w:rsidRPr="00384DF3">
        <w:rPr>
          <w:rFonts w:ascii="Bookman Old Style" w:hAnsi="Bookman Old Style"/>
          <w:sz w:val="28"/>
          <w:szCs w:val="28"/>
          <w:lang w:val="el-GR"/>
        </w:rPr>
        <w:t xml:space="preserve"> τονίστηκε πως «</w:t>
      </w:r>
      <w:r w:rsidRPr="00384DF3">
        <w:rPr>
          <w:rFonts w:ascii="Bookman Old Style" w:hAnsi="Bookman Old Style"/>
          <w:i/>
          <w:iCs/>
          <w:sz w:val="28"/>
          <w:szCs w:val="28"/>
          <w:lang w:val="el-GR"/>
        </w:rPr>
        <w:t xml:space="preserve">η νομολογία του </w:t>
      </w:r>
      <w:proofErr w:type="spellStart"/>
      <w:r w:rsidRPr="00384DF3">
        <w:rPr>
          <w:rFonts w:ascii="Bookman Old Style" w:hAnsi="Bookman Old Style"/>
          <w:i/>
          <w:iCs/>
          <w:sz w:val="28"/>
          <w:szCs w:val="28"/>
          <w:lang w:val="el-GR"/>
        </w:rPr>
        <w:t>Ανωτάτου</w:t>
      </w:r>
      <w:proofErr w:type="spellEnd"/>
      <w:r w:rsidRPr="00384DF3">
        <w:rPr>
          <w:rFonts w:ascii="Bookman Old Style" w:hAnsi="Bookman Old Style"/>
          <w:i/>
          <w:iCs/>
          <w:sz w:val="28"/>
          <w:szCs w:val="28"/>
          <w:lang w:val="el-GR"/>
        </w:rPr>
        <w:t xml:space="preserve"> Δικαστηρίου σταθερά αποδέχεται ότι μόνο με αίτηση </w:t>
      </w:r>
      <w:proofErr w:type="spellStart"/>
      <w:r w:rsidRPr="00384DF3">
        <w:rPr>
          <w:rFonts w:ascii="Bookman Old Style" w:hAnsi="Bookman Old Style"/>
          <w:i/>
          <w:iCs/>
          <w:sz w:val="28"/>
          <w:szCs w:val="28"/>
          <w:lang w:val="el-GR"/>
        </w:rPr>
        <w:t>Habeas</w:t>
      </w:r>
      <w:proofErr w:type="spellEnd"/>
      <w:r w:rsidRPr="00384DF3">
        <w:rPr>
          <w:rFonts w:ascii="Bookman Old Style" w:hAnsi="Bookman Old Style"/>
          <w:i/>
          <w:iCs/>
          <w:sz w:val="28"/>
          <w:szCs w:val="28"/>
          <w:lang w:val="el-GR"/>
        </w:rPr>
        <w:t xml:space="preserve"> </w:t>
      </w:r>
      <w:proofErr w:type="spellStart"/>
      <w:r w:rsidRPr="00384DF3">
        <w:rPr>
          <w:rFonts w:ascii="Bookman Old Style" w:hAnsi="Bookman Old Style"/>
          <w:i/>
          <w:iCs/>
          <w:sz w:val="28"/>
          <w:szCs w:val="28"/>
          <w:lang w:val="el-GR"/>
        </w:rPr>
        <w:t>Corpus</w:t>
      </w:r>
      <w:proofErr w:type="spellEnd"/>
      <w:r w:rsidRPr="00384DF3">
        <w:rPr>
          <w:rFonts w:ascii="Bookman Old Style" w:hAnsi="Bookman Old Style"/>
          <w:i/>
          <w:iCs/>
          <w:sz w:val="28"/>
          <w:szCs w:val="28"/>
          <w:lang w:val="el-GR"/>
        </w:rPr>
        <w:t xml:space="preserve"> μπορεί να ελεγχθεί η νομιμότητα της κράτησης αλλοδαπού από πλευράς της διάρκειας της συμφώνως των προνοιών του Άρθρου 18ΠΣΤ του νόμου</w:t>
      </w:r>
      <w:r w:rsidRPr="00384DF3">
        <w:rPr>
          <w:rFonts w:ascii="Bookman Old Style" w:hAnsi="Bookman Old Style"/>
          <w:sz w:val="28"/>
          <w:szCs w:val="28"/>
          <w:lang w:val="el-GR"/>
        </w:rPr>
        <w:t>».</w:t>
      </w:r>
    </w:p>
    <w:p w14:paraId="2C3B3B56" w14:textId="77777777" w:rsidR="00384DF3" w:rsidRPr="00384DF3" w:rsidRDefault="00384DF3" w:rsidP="00384DF3">
      <w:pPr>
        <w:overflowPunct w:val="0"/>
        <w:spacing w:line="480" w:lineRule="auto"/>
        <w:ind w:right="62"/>
        <w:jc w:val="both"/>
        <w:rPr>
          <w:rFonts w:ascii="Bookman Old Style" w:hAnsi="Bookman Old Style"/>
          <w:sz w:val="28"/>
          <w:szCs w:val="28"/>
          <w:lang w:val="el-GR"/>
        </w:rPr>
      </w:pPr>
    </w:p>
    <w:p w14:paraId="46413938" w14:textId="5FDFC144" w:rsidR="00384DF3" w:rsidRPr="00384DF3" w:rsidRDefault="00384DF3" w:rsidP="00384DF3">
      <w:pPr>
        <w:overflowPunct w:val="0"/>
        <w:spacing w:line="480" w:lineRule="auto"/>
        <w:ind w:right="62"/>
        <w:jc w:val="both"/>
        <w:rPr>
          <w:rFonts w:ascii="Bookman Old Style" w:hAnsi="Bookman Old Style"/>
          <w:sz w:val="28"/>
          <w:szCs w:val="28"/>
          <w:lang w:val="el-GR"/>
        </w:rPr>
      </w:pPr>
      <w:r w:rsidRPr="00384DF3">
        <w:rPr>
          <w:rFonts w:ascii="Bookman Old Style" w:hAnsi="Bookman Old Style"/>
          <w:sz w:val="28"/>
          <w:szCs w:val="28"/>
          <w:lang w:val="el-GR"/>
        </w:rPr>
        <w:lastRenderedPageBreak/>
        <w:t xml:space="preserve">Το </w:t>
      </w:r>
      <w:r w:rsidRPr="00384DF3">
        <w:rPr>
          <w:rFonts w:ascii="Bookman Old Style" w:hAnsi="Bookman Old Style"/>
          <w:b/>
          <w:bCs/>
          <w:i/>
          <w:iCs/>
          <w:sz w:val="28"/>
          <w:szCs w:val="28"/>
          <w:lang w:val="el-GR"/>
        </w:rPr>
        <w:t>Άρθρο 18ΠΣΤ</w:t>
      </w:r>
      <w:r w:rsidRPr="00384DF3">
        <w:rPr>
          <w:rFonts w:ascii="Bookman Old Style" w:hAnsi="Bookman Old Style"/>
          <w:sz w:val="28"/>
          <w:szCs w:val="28"/>
          <w:lang w:val="el-GR"/>
        </w:rPr>
        <w:t xml:space="preserve"> του </w:t>
      </w:r>
      <w:r w:rsidRPr="00384DF3">
        <w:rPr>
          <w:rFonts w:ascii="Bookman Old Style" w:hAnsi="Bookman Old Style"/>
          <w:b/>
          <w:bCs/>
          <w:i/>
          <w:iCs/>
          <w:sz w:val="28"/>
          <w:szCs w:val="28"/>
          <w:lang w:val="el-GR"/>
        </w:rPr>
        <w:t>Νόμου</w:t>
      </w:r>
      <w:r w:rsidRPr="00384DF3">
        <w:rPr>
          <w:rFonts w:ascii="Bookman Old Style" w:hAnsi="Bookman Old Style"/>
          <w:sz w:val="28"/>
          <w:szCs w:val="28"/>
          <w:lang w:val="el-GR"/>
        </w:rPr>
        <w:t xml:space="preserve">, εισήχθη με τον </w:t>
      </w:r>
      <w:r w:rsidRPr="00384DF3">
        <w:rPr>
          <w:rFonts w:ascii="Bookman Old Style" w:hAnsi="Bookman Old Style"/>
          <w:b/>
          <w:bCs/>
          <w:i/>
          <w:iCs/>
          <w:sz w:val="28"/>
          <w:szCs w:val="28"/>
          <w:lang w:val="el-GR"/>
        </w:rPr>
        <w:t xml:space="preserve">τροποποιητικό Νόμο </w:t>
      </w:r>
      <w:r w:rsidR="00D51071">
        <w:rPr>
          <w:rFonts w:ascii="Bookman Old Style" w:hAnsi="Bookman Old Style"/>
          <w:b/>
          <w:bCs/>
          <w:i/>
          <w:iCs/>
          <w:sz w:val="28"/>
          <w:szCs w:val="28"/>
          <w:lang w:val="el-GR"/>
        </w:rPr>
        <w:t xml:space="preserve">               </w:t>
      </w:r>
      <w:r w:rsidRPr="00384DF3">
        <w:rPr>
          <w:rFonts w:ascii="Bookman Old Style" w:hAnsi="Bookman Old Style"/>
          <w:b/>
          <w:bCs/>
          <w:i/>
          <w:iCs/>
          <w:sz w:val="28"/>
          <w:szCs w:val="28"/>
          <w:lang w:val="el-GR"/>
        </w:rPr>
        <w:t>Ν. 153(Ι)/2011</w:t>
      </w:r>
      <w:r w:rsidRPr="00384DF3">
        <w:rPr>
          <w:rFonts w:ascii="Bookman Old Style" w:hAnsi="Bookman Old Style"/>
          <w:sz w:val="28"/>
          <w:szCs w:val="28"/>
          <w:lang w:val="el-GR"/>
        </w:rPr>
        <w:t>, για σκοπούς εναρμόνισης µε την πράξη της Ευρωπαϊκής Κοινότητας</w:t>
      </w:r>
      <w:r w:rsidR="00D51071">
        <w:rPr>
          <w:rFonts w:ascii="Bookman Old Style" w:hAnsi="Bookman Old Style"/>
          <w:sz w:val="28"/>
          <w:szCs w:val="28"/>
          <w:lang w:val="el-GR"/>
        </w:rPr>
        <w:t xml:space="preserve"> με</w:t>
      </w:r>
      <w:r w:rsidRPr="00384DF3">
        <w:rPr>
          <w:rFonts w:ascii="Bookman Old Style" w:hAnsi="Bookman Old Style"/>
          <w:sz w:val="28"/>
          <w:szCs w:val="28"/>
          <w:lang w:val="el-GR"/>
        </w:rPr>
        <w:t xml:space="preserve"> τίτλο «</w:t>
      </w:r>
      <w:r w:rsidRPr="00384DF3">
        <w:rPr>
          <w:rFonts w:ascii="Bookman Old Style" w:hAnsi="Bookman Old Style"/>
          <w:i/>
          <w:iCs/>
          <w:sz w:val="28"/>
          <w:szCs w:val="28"/>
          <w:lang w:val="el-GR"/>
        </w:rPr>
        <w:t xml:space="preserve">Οδηγία 2008/115/ΕΚ του Ευρωπαϊκού Κοινοβουλίου και του </w:t>
      </w:r>
      <w:proofErr w:type="spellStart"/>
      <w:r w:rsidRPr="00384DF3">
        <w:rPr>
          <w:rFonts w:ascii="Bookman Old Style" w:hAnsi="Bookman Old Style"/>
          <w:i/>
          <w:iCs/>
          <w:sz w:val="28"/>
          <w:szCs w:val="28"/>
          <w:lang w:val="el-GR"/>
        </w:rPr>
        <w:t>Συµβουλίου</w:t>
      </w:r>
      <w:proofErr w:type="spellEnd"/>
      <w:r w:rsidRPr="00384DF3">
        <w:rPr>
          <w:rFonts w:ascii="Bookman Old Style" w:hAnsi="Bookman Old Style"/>
          <w:i/>
          <w:iCs/>
          <w:sz w:val="28"/>
          <w:szCs w:val="28"/>
          <w:lang w:val="el-GR"/>
        </w:rPr>
        <w:t xml:space="preserve">, της 16ης </w:t>
      </w:r>
      <w:proofErr w:type="spellStart"/>
      <w:r w:rsidRPr="00384DF3">
        <w:rPr>
          <w:rFonts w:ascii="Bookman Old Style" w:hAnsi="Bookman Old Style"/>
          <w:i/>
          <w:iCs/>
          <w:sz w:val="28"/>
          <w:szCs w:val="28"/>
          <w:lang w:val="el-GR"/>
        </w:rPr>
        <w:t>Δεκεµβρίου</w:t>
      </w:r>
      <w:proofErr w:type="spellEnd"/>
      <w:r w:rsidRPr="00384DF3">
        <w:rPr>
          <w:rFonts w:ascii="Bookman Old Style" w:hAnsi="Bookman Old Style"/>
          <w:i/>
          <w:iCs/>
          <w:sz w:val="28"/>
          <w:szCs w:val="28"/>
          <w:lang w:val="el-GR"/>
        </w:rPr>
        <w:t xml:space="preserve"> 2008, σχετικά µε τους κοινούς κανόνες και διαδικασίες στα κράτη µέλη για την επιστροφή των </w:t>
      </w:r>
      <w:proofErr w:type="spellStart"/>
      <w:r w:rsidRPr="00384DF3">
        <w:rPr>
          <w:rFonts w:ascii="Bookman Old Style" w:hAnsi="Bookman Old Style"/>
          <w:i/>
          <w:iCs/>
          <w:sz w:val="28"/>
          <w:szCs w:val="28"/>
          <w:lang w:val="el-GR"/>
        </w:rPr>
        <w:t>παρανόµως</w:t>
      </w:r>
      <w:proofErr w:type="spellEnd"/>
      <w:r w:rsidRPr="00384DF3">
        <w:rPr>
          <w:rFonts w:ascii="Bookman Old Style" w:hAnsi="Bookman Old Style"/>
          <w:i/>
          <w:iCs/>
          <w:sz w:val="28"/>
          <w:szCs w:val="28"/>
          <w:lang w:val="el-GR"/>
        </w:rPr>
        <w:t xml:space="preserve"> </w:t>
      </w:r>
      <w:proofErr w:type="spellStart"/>
      <w:r w:rsidRPr="00384DF3">
        <w:rPr>
          <w:rFonts w:ascii="Bookman Old Style" w:hAnsi="Bookman Old Style"/>
          <w:i/>
          <w:iCs/>
          <w:sz w:val="28"/>
          <w:szCs w:val="28"/>
          <w:lang w:val="el-GR"/>
        </w:rPr>
        <w:t>διαµενόντων</w:t>
      </w:r>
      <w:proofErr w:type="spellEnd"/>
      <w:r w:rsidRPr="00384DF3">
        <w:rPr>
          <w:rFonts w:ascii="Bookman Old Style" w:hAnsi="Bookman Old Style"/>
          <w:i/>
          <w:iCs/>
          <w:sz w:val="28"/>
          <w:szCs w:val="28"/>
          <w:lang w:val="el-GR"/>
        </w:rPr>
        <w:t xml:space="preserve"> υπηκόων τρίτων χωρών</w:t>
      </w:r>
      <w:r w:rsidRPr="00384DF3">
        <w:rPr>
          <w:rFonts w:ascii="Bookman Old Style" w:hAnsi="Bookman Old Style"/>
          <w:sz w:val="28"/>
          <w:szCs w:val="28"/>
          <w:lang w:val="el-GR"/>
        </w:rPr>
        <w:t>» και οι πρόνοιες του είναι επιτακτικές.</w:t>
      </w:r>
    </w:p>
    <w:p w14:paraId="1E1F4B2C" w14:textId="3A3F523F" w:rsidR="00384DF3" w:rsidRDefault="00384DF3" w:rsidP="009E2DD8">
      <w:pPr>
        <w:overflowPunct w:val="0"/>
        <w:spacing w:line="480" w:lineRule="auto"/>
        <w:ind w:right="62"/>
        <w:jc w:val="both"/>
        <w:rPr>
          <w:rFonts w:ascii="Bookman Old Style" w:hAnsi="Bookman Old Style"/>
          <w:sz w:val="28"/>
          <w:szCs w:val="28"/>
          <w:lang w:val="el-GR"/>
        </w:rPr>
      </w:pPr>
      <w:r w:rsidRPr="00384DF3">
        <w:rPr>
          <w:rFonts w:ascii="Bookman Old Style" w:hAnsi="Bookman Old Style"/>
          <w:sz w:val="28"/>
          <w:szCs w:val="28"/>
          <w:lang w:val="el-GR"/>
        </w:rPr>
        <w:t xml:space="preserve"> Το </w:t>
      </w:r>
      <w:r w:rsidRPr="001C6A37">
        <w:rPr>
          <w:rFonts w:ascii="Bookman Old Style" w:hAnsi="Bookman Old Style"/>
          <w:b/>
          <w:bCs/>
          <w:i/>
          <w:iCs/>
          <w:sz w:val="28"/>
          <w:szCs w:val="28"/>
          <w:lang w:val="el-GR"/>
        </w:rPr>
        <w:t>εδάφιο (1)</w:t>
      </w:r>
      <w:r w:rsidRPr="00384DF3">
        <w:rPr>
          <w:rFonts w:ascii="Bookman Old Style" w:hAnsi="Bookman Old Style"/>
          <w:sz w:val="28"/>
          <w:szCs w:val="28"/>
          <w:lang w:val="el-GR"/>
        </w:rPr>
        <w:t xml:space="preserve"> του </w:t>
      </w:r>
      <w:r w:rsidRPr="001C6A37">
        <w:rPr>
          <w:rFonts w:ascii="Bookman Old Style" w:hAnsi="Bookman Old Style"/>
          <w:b/>
          <w:bCs/>
          <w:i/>
          <w:iCs/>
          <w:sz w:val="28"/>
          <w:szCs w:val="28"/>
          <w:lang w:val="el-GR"/>
        </w:rPr>
        <w:t>Άρθρου 18ΠΣΤ</w:t>
      </w:r>
      <w:r w:rsidRPr="00384DF3">
        <w:rPr>
          <w:rFonts w:ascii="Bookman Old Style" w:hAnsi="Bookman Old Style"/>
          <w:sz w:val="28"/>
          <w:szCs w:val="28"/>
          <w:lang w:val="el-GR"/>
        </w:rPr>
        <w:t xml:space="preserve"> του </w:t>
      </w:r>
      <w:r w:rsidRPr="001C6A37">
        <w:rPr>
          <w:rFonts w:ascii="Bookman Old Style" w:hAnsi="Bookman Old Style"/>
          <w:b/>
          <w:bCs/>
          <w:i/>
          <w:iCs/>
          <w:sz w:val="28"/>
          <w:szCs w:val="28"/>
          <w:lang w:val="el-GR"/>
        </w:rPr>
        <w:t>Νόμου</w:t>
      </w:r>
      <w:r w:rsidRPr="00384DF3">
        <w:rPr>
          <w:rFonts w:ascii="Bookman Old Style" w:hAnsi="Bookman Old Style"/>
          <w:sz w:val="28"/>
          <w:szCs w:val="28"/>
          <w:lang w:val="el-GR"/>
        </w:rPr>
        <w:t xml:space="preserve"> εξουσιοδοτεί τον Υπουργό Εσωτερικών να εκδώσει διάταγμα με το οποίο να θέτει υπό κράτηση υπήκοο τρίτης χώρας υποκείμενο σε διαδικασίες επιστροφής. Αυτό μπορεί να γίνει «</w:t>
      </w:r>
      <w:r w:rsidRPr="001C6A37">
        <w:rPr>
          <w:rFonts w:ascii="Bookman Old Style" w:hAnsi="Bookman Old Style"/>
          <w:i/>
          <w:iCs/>
          <w:sz w:val="28"/>
          <w:szCs w:val="28"/>
          <w:lang w:val="el-GR"/>
        </w:rPr>
        <w:t>μόνο για την προετοιμασία της επιστροφής και/ή τη διεκπεραίωση της διαδικασίας απομάκρυνσης</w:t>
      </w:r>
      <w:r w:rsidRPr="00384DF3">
        <w:rPr>
          <w:rFonts w:ascii="Bookman Old Style" w:hAnsi="Bookman Old Style"/>
          <w:sz w:val="28"/>
          <w:szCs w:val="28"/>
          <w:lang w:val="el-GR"/>
        </w:rPr>
        <w:t>». Προβλέπεται ότι «</w:t>
      </w:r>
      <w:r w:rsidRPr="001C6A37">
        <w:rPr>
          <w:rFonts w:ascii="Bookman Old Style" w:hAnsi="Bookman Old Style"/>
          <w:i/>
          <w:iCs/>
          <w:sz w:val="28"/>
          <w:szCs w:val="28"/>
          <w:lang w:val="el-GR"/>
        </w:rPr>
        <w:t xml:space="preserve">τέτοια κράτηση έχει τη μικρότερη δυνατή διάρκεια και διατηρείται μόνο </w:t>
      </w:r>
      <w:proofErr w:type="spellStart"/>
      <w:r w:rsidRPr="001C6A37">
        <w:rPr>
          <w:rFonts w:ascii="Bookman Old Style" w:hAnsi="Bookman Old Style"/>
          <w:i/>
          <w:iCs/>
          <w:sz w:val="28"/>
          <w:szCs w:val="28"/>
          <w:lang w:val="el-GR"/>
        </w:rPr>
        <w:t>καθόσο</w:t>
      </w:r>
      <w:proofErr w:type="spellEnd"/>
      <w:r w:rsidRPr="001C6A37">
        <w:rPr>
          <w:rFonts w:ascii="Bookman Old Style" w:hAnsi="Bookman Old Style"/>
          <w:i/>
          <w:iCs/>
          <w:sz w:val="28"/>
          <w:szCs w:val="28"/>
          <w:lang w:val="el-GR"/>
        </w:rPr>
        <w:t xml:space="preserve"> χρόνο η διαδικασία απομάκρυνσης εξελίσσεται και εκτελείται με τη δέουσα επιμέλεια</w:t>
      </w:r>
      <w:r w:rsidRPr="00384DF3">
        <w:rPr>
          <w:rFonts w:ascii="Bookman Old Style" w:hAnsi="Bookman Old Style"/>
          <w:sz w:val="28"/>
          <w:szCs w:val="28"/>
          <w:lang w:val="el-GR"/>
        </w:rPr>
        <w:t xml:space="preserve">». Περαιτέρω, κάθε διάταγμα κράτησης επανεξετάζεται από τον Υπουργό Εσωτερικών (α) αυτεπάγγελτα ανά δίμηνο και (β) σε οποιοδήποτε εύλογο χρονικό διάστημα, κατ’ αίτηση του επηρεαζόμενου υπηκόου τρίτης χώρας. Η κράτηση εξακολουθεί </w:t>
      </w:r>
      <w:proofErr w:type="spellStart"/>
      <w:r w:rsidRPr="00384DF3">
        <w:rPr>
          <w:rFonts w:ascii="Bookman Old Style" w:hAnsi="Bookman Old Style"/>
          <w:sz w:val="28"/>
          <w:szCs w:val="28"/>
          <w:lang w:val="el-GR"/>
        </w:rPr>
        <w:t>καθόλη</w:t>
      </w:r>
      <w:proofErr w:type="spellEnd"/>
      <w:r w:rsidRPr="00384DF3">
        <w:rPr>
          <w:rFonts w:ascii="Bookman Old Style" w:hAnsi="Bookman Old Style"/>
          <w:sz w:val="28"/>
          <w:szCs w:val="28"/>
          <w:lang w:val="el-GR"/>
        </w:rPr>
        <w:t xml:space="preserve"> τη χρονική περίοδο κατά την οποία πληρούνται οι όροι του </w:t>
      </w:r>
      <w:r w:rsidRPr="00384DF3">
        <w:rPr>
          <w:rFonts w:ascii="Bookman Old Style" w:hAnsi="Bookman Old Style"/>
          <w:b/>
          <w:bCs/>
          <w:i/>
          <w:iCs/>
          <w:sz w:val="28"/>
          <w:szCs w:val="28"/>
          <w:lang w:val="el-GR"/>
        </w:rPr>
        <w:t>Άρθρου 18ΠΣΤ(1)</w:t>
      </w:r>
      <w:r w:rsidRPr="00384DF3">
        <w:rPr>
          <w:rFonts w:ascii="Bookman Old Style" w:hAnsi="Bookman Old Style"/>
          <w:sz w:val="28"/>
          <w:szCs w:val="28"/>
          <w:lang w:val="el-GR"/>
        </w:rPr>
        <w:t xml:space="preserve"> και είναι αναγκαία για να διασφαλισθεί η επιτυχής απομάκρυνση και δεν υπερβαίνει τους έξι </w:t>
      </w:r>
      <w:r w:rsidRPr="00384DF3">
        <w:rPr>
          <w:rFonts w:ascii="Bookman Old Style" w:hAnsi="Bookman Old Style"/>
          <w:sz w:val="28"/>
          <w:szCs w:val="28"/>
          <w:lang w:val="el-GR"/>
        </w:rPr>
        <w:lastRenderedPageBreak/>
        <w:t>μήνες</w:t>
      </w:r>
      <w:bookmarkStart w:id="1" w:name="_ftnref1"/>
      <w:r w:rsidR="00BE69C2">
        <w:rPr>
          <w:rStyle w:val="FootnoteReference"/>
          <w:rFonts w:ascii="Bookman Old Style" w:hAnsi="Bookman Old Style"/>
          <w:sz w:val="28"/>
          <w:szCs w:val="28"/>
          <w:lang w:val="el-GR"/>
        </w:rPr>
        <w:footnoteReference w:id="1"/>
      </w:r>
      <w:bookmarkEnd w:id="1"/>
      <w:r w:rsidRPr="00384DF3">
        <w:rPr>
          <w:rFonts w:ascii="Bookman Old Style" w:hAnsi="Bookman Old Style"/>
          <w:sz w:val="28"/>
          <w:szCs w:val="28"/>
          <w:lang w:val="el-GR"/>
        </w:rPr>
        <w:t xml:space="preserve">. Ο Υπουργός Εσωτερικών δύναται να παρατείνει το χρονικό αυτό διάστημα για πρόσθετο περιορισμένο χρόνο που δεν υπερβαίνει τους </w:t>
      </w:r>
      <w:r w:rsidR="009E2DD8">
        <w:rPr>
          <w:rFonts w:ascii="Bookman Old Style" w:hAnsi="Bookman Old Style"/>
          <w:sz w:val="28"/>
          <w:szCs w:val="28"/>
          <w:lang w:val="el-GR"/>
        </w:rPr>
        <w:t xml:space="preserve">            </w:t>
      </w:r>
      <w:r w:rsidRPr="00384DF3">
        <w:rPr>
          <w:rFonts w:ascii="Bookman Old Style" w:hAnsi="Bookman Old Style"/>
          <w:sz w:val="28"/>
          <w:szCs w:val="28"/>
          <w:lang w:val="el-GR"/>
        </w:rPr>
        <w:t xml:space="preserve">12 μήνες σε περιπτώσεις όπου (α) ο υπήκοος τρίτης χώρας αρνείται και συνεργαστεί ή </w:t>
      </w:r>
      <w:r w:rsidR="009E2DD8">
        <w:rPr>
          <w:rFonts w:ascii="Bookman Old Style" w:hAnsi="Bookman Old Style"/>
          <w:sz w:val="28"/>
          <w:szCs w:val="28"/>
          <w:lang w:val="el-GR"/>
        </w:rPr>
        <w:t>(</w:t>
      </w:r>
      <w:r w:rsidRPr="00384DF3">
        <w:rPr>
          <w:rFonts w:ascii="Bookman Old Style" w:hAnsi="Bookman Old Style"/>
          <w:sz w:val="28"/>
          <w:szCs w:val="28"/>
          <w:lang w:val="el-GR"/>
        </w:rPr>
        <w:t>β) καθυστερεί η λήψη αναγκαίων εγγράφων από τρίτες χώρες</w:t>
      </w:r>
      <w:bookmarkStart w:id="2" w:name="_ftnref2"/>
      <w:r w:rsidR="00BE69C2">
        <w:rPr>
          <w:rStyle w:val="FootnoteReference"/>
          <w:rFonts w:ascii="Bookman Old Style" w:hAnsi="Bookman Old Style"/>
          <w:sz w:val="28"/>
          <w:szCs w:val="28"/>
          <w:lang w:val="el-GR"/>
        </w:rPr>
        <w:footnoteReference w:id="2"/>
      </w:r>
      <w:r w:rsidR="00BE69C2">
        <w:rPr>
          <w:rFonts w:ascii="Bookman Old Style" w:hAnsi="Bookman Old Style"/>
          <w:sz w:val="28"/>
          <w:szCs w:val="28"/>
          <w:lang w:val="el-GR"/>
        </w:rPr>
        <w:t xml:space="preserve"> </w:t>
      </w:r>
      <w:bookmarkEnd w:id="2"/>
      <w:r w:rsidRPr="00384DF3">
        <w:rPr>
          <w:rFonts w:ascii="Bookman Old Style" w:hAnsi="Bookman Old Style"/>
          <w:sz w:val="28"/>
          <w:szCs w:val="28"/>
          <w:lang w:val="el-GR"/>
        </w:rPr>
        <w:t xml:space="preserve">(βλ. </w:t>
      </w:r>
      <w:r w:rsidRPr="00384DF3">
        <w:rPr>
          <w:rFonts w:ascii="Bookman Old Style" w:hAnsi="Bookman Old Style"/>
          <w:b/>
          <w:bCs/>
          <w:i/>
          <w:iCs/>
          <w:sz w:val="28"/>
          <w:szCs w:val="28"/>
          <w:lang w:val="el-GR"/>
        </w:rPr>
        <w:t xml:space="preserve">Αναφορικά με την Αίτηση του </w:t>
      </w:r>
      <w:proofErr w:type="spellStart"/>
      <w:r w:rsidRPr="00384DF3">
        <w:rPr>
          <w:rFonts w:ascii="Bookman Old Style" w:hAnsi="Bookman Old Style"/>
          <w:b/>
          <w:bCs/>
          <w:i/>
          <w:iCs/>
          <w:sz w:val="28"/>
          <w:szCs w:val="28"/>
          <w:lang w:val="el-GR"/>
        </w:rPr>
        <w:t>Zoran</w:t>
      </w:r>
      <w:proofErr w:type="spellEnd"/>
      <w:r w:rsidRPr="00384DF3">
        <w:rPr>
          <w:rFonts w:ascii="Bookman Old Style" w:hAnsi="Bookman Old Style"/>
          <w:b/>
          <w:bCs/>
          <w:i/>
          <w:iCs/>
          <w:sz w:val="28"/>
          <w:szCs w:val="28"/>
          <w:lang w:val="el-GR"/>
        </w:rPr>
        <w:t xml:space="preserve"> </w:t>
      </w:r>
      <w:proofErr w:type="spellStart"/>
      <w:r w:rsidRPr="00384DF3">
        <w:rPr>
          <w:rFonts w:ascii="Bookman Old Style" w:hAnsi="Bookman Old Style"/>
          <w:b/>
          <w:bCs/>
          <w:i/>
          <w:iCs/>
          <w:sz w:val="28"/>
          <w:szCs w:val="28"/>
          <w:lang w:val="el-GR"/>
        </w:rPr>
        <w:t>Todorovic</w:t>
      </w:r>
      <w:proofErr w:type="spellEnd"/>
      <w:r w:rsidRPr="00384DF3">
        <w:rPr>
          <w:rFonts w:ascii="Bookman Old Style" w:hAnsi="Bookman Old Style"/>
          <w:b/>
          <w:bCs/>
          <w:i/>
          <w:iCs/>
          <w:sz w:val="28"/>
          <w:szCs w:val="28"/>
          <w:lang w:val="el-GR"/>
        </w:rPr>
        <w:t xml:space="preserve"> (2013) </w:t>
      </w:r>
      <w:r w:rsidR="009E2DD8">
        <w:rPr>
          <w:rFonts w:ascii="Bookman Old Style" w:hAnsi="Bookman Old Style"/>
          <w:b/>
          <w:bCs/>
          <w:i/>
          <w:iCs/>
          <w:sz w:val="28"/>
          <w:szCs w:val="28"/>
          <w:lang w:val="el-GR"/>
        </w:rPr>
        <w:t xml:space="preserve">            </w:t>
      </w:r>
      <w:r w:rsidRPr="00384DF3">
        <w:rPr>
          <w:rFonts w:ascii="Bookman Old Style" w:hAnsi="Bookman Old Style"/>
          <w:b/>
          <w:bCs/>
          <w:i/>
          <w:iCs/>
          <w:sz w:val="28"/>
          <w:szCs w:val="28"/>
          <w:lang w:val="el-GR"/>
        </w:rPr>
        <w:t>1 Α.Α.Δ. 2578</w:t>
      </w:r>
      <w:r w:rsidRPr="00384DF3">
        <w:rPr>
          <w:rFonts w:ascii="Bookman Old Style" w:hAnsi="Bookman Old Style"/>
          <w:sz w:val="28"/>
          <w:szCs w:val="28"/>
          <w:lang w:val="el-GR"/>
        </w:rPr>
        <w:t>).</w:t>
      </w:r>
    </w:p>
    <w:p w14:paraId="27AB619E" w14:textId="77777777" w:rsidR="002070E4" w:rsidRDefault="002070E4" w:rsidP="006C2374">
      <w:pPr>
        <w:overflowPunct w:val="0"/>
        <w:spacing w:line="480" w:lineRule="auto"/>
        <w:ind w:right="62"/>
        <w:jc w:val="both"/>
        <w:rPr>
          <w:rFonts w:ascii="Bookman Old Style" w:hAnsi="Bookman Old Style"/>
          <w:sz w:val="28"/>
          <w:szCs w:val="28"/>
          <w:lang w:val="el-GR"/>
        </w:rPr>
      </w:pPr>
    </w:p>
    <w:p w14:paraId="239E9999" w14:textId="7D449FE9" w:rsidR="002070E4" w:rsidRDefault="002070E4" w:rsidP="002070E4">
      <w:pPr>
        <w:overflowPunct w:val="0"/>
        <w:spacing w:line="480" w:lineRule="auto"/>
        <w:ind w:right="62"/>
        <w:jc w:val="both"/>
        <w:rPr>
          <w:rFonts w:ascii="Bookman Old Style" w:hAnsi="Bookman Old Style"/>
          <w:sz w:val="28"/>
          <w:szCs w:val="28"/>
          <w:lang w:val="el-GR"/>
        </w:rPr>
      </w:pPr>
      <w:r w:rsidRPr="00384DF3">
        <w:rPr>
          <w:rFonts w:ascii="Bookman Old Style" w:hAnsi="Bookman Old Style"/>
          <w:sz w:val="28"/>
          <w:szCs w:val="28"/>
          <w:lang w:val="el-GR"/>
        </w:rPr>
        <w:t xml:space="preserve">Το Δικαστήριο έχει διεξέλθει με προσοχή όσα οι </w:t>
      </w:r>
      <w:proofErr w:type="spellStart"/>
      <w:r w:rsidRPr="00384DF3">
        <w:rPr>
          <w:rFonts w:ascii="Bookman Old Style" w:hAnsi="Bookman Old Style"/>
          <w:sz w:val="28"/>
          <w:szCs w:val="28"/>
          <w:lang w:val="el-GR"/>
        </w:rPr>
        <w:t>ευπαίδευτοι</w:t>
      </w:r>
      <w:proofErr w:type="spellEnd"/>
      <w:r w:rsidRPr="00384DF3">
        <w:rPr>
          <w:rFonts w:ascii="Bookman Old Style" w:hAnsi="Bookman Old Style"/>
          <w:sz w:val="28"/>
          <w:szCs w:val="28"/>
          <w:lang w:val="el-GR"/>
        </w:rPr>
        <w:t xml:space="preserve"> συνήγοροι έχουν θέσει ενώπιον του, συμπεριλαμβανομένων και των επιχειρημάτων που ανέπτυξαν </w:t>
      </w:r>
      <w:r w:rsidR="009E2DD8">
        <w:rPr>
          <w:rFonts w:ascii="Bookman Old Style" w:hAnsi="Bookman Old Style"/>
          <w:sz w:val="28"/>
          <w:szCs w:val="28"/>
          <w:lang w:val="el-GR"/>
        </w:rPr>
        <w:t>μέσω γραπτών αγορεύσεων</w:t>
      </w:r>
      <w:r w:rsidRPr="00384DF3">
        <w:rPr>
          <w:rFonts w:ascii="Bookman Old Style" w:hAnsi="Bookman Old Style"/>
          <w:sz w:val="28"/>
          <w:szCs w:val="28"/>
          <w:lang w:val="el-GR"/>
        </w:rPr>
        <w:t>.</w:t>
      </w:r>
    </w:p>
    <w:p w14:paraId="4CC98360" w14:textId="77777777" w:rsidR="006C2374" w:rsidRPr="00384DF3" w:rsidRDefault="006C2374" w:rsidP="006C2374">
      <w:pPr>
        <w:overflowPunct w:val="0"/>
        <w:spacing w:line="480" w:lineRule="auto"/>
        <w:ind w:right="62"/>
        <w:jc w:val="both"/>
        <w:rPr>
          <w:rFonts w:ascii="Bookman Old Style" w:hAnsi="Bookman Old Style"/>
          <w:sz w:val="28"/>
          <w:szCs w:val="28"/>
          <w:lang w:val="el-GR"/>
        </w:rPr>
      </w:pPr>
    </w:p>
    <w:p w14:paraId="22AB75FC" w14:textId="6AF5187F" w:rsidR="00384DF3" w:rsidRDefault="009521AB" w:rsidP="006C2374">
      <w:pPr>
        <w:overflowPunct w:val="0"/>
        <w:spacing w:line="480" w:lineRule="auto"/>
        <w:ind w:right="62"/>
        <w:jc w:val="both"/>
        <w:rPr>
          <w:rFonts w:ascii="Bookman Old Style" w:hAnsi="Bookman Old Style"/>
          <w:sz w:val="28"/>
          <w:szCs w:val="28"/>
          <w:lang w:val="el-GR"/>
        </w:rPr>
      </w:pPr>
      <w:r w:rsidRPr="009521AB">
        <w:rPr>
          <w:rFonts w:ascii="Bookman Old Style" w:hAnsi="Bookman Old Style"/>
          <w:sz w:val="28"/>
          <w:szCs w:val="28"/>
          <w:lang w:val="el-GR"/>
        </w:rPr>
        <w:t xml:space="preserve">Αποτελεί θέση του </w:t>
      </w:r>
      <w:proofErr w:type="spellStart"/>
      <w:r w:rsidRPr="009521AB">
        <w:rPr>
          <w:rFonts w:ascii="Bookman Old Style" w:hAnsi="Bookman Old Style"/>
          <w:sz w:val="28"/>
          <w:szCs w:val="28"/>
          <w:lang w:val="el-GR"/>
        </w:rPr>
        <w:t>Αιτητή</w:t>
      </w:r>
      <w:proofErr w:type="spellEnd"/>
      <w:r w:rsidRPr="009521AB">
        <w:rPr>
          <w:rFonts w:ascii="Bookman Old Style" w:hAnsi="Bookman Old Style"/>
          <w:sz w:val="28"/>
          <w:szCs w:val="28"/>
          <w:lang w:val="el-GR"/>
        </w:rPr>
        <w:t xml:space="preserve"> ότι</w:t>
      </w:r>
      <w:r>
        <w:rPr>
          <w:rFonts w:ascii="Bookman Old Style" w:hAnsi="Bookman Old Style"/>
          <w:sz w:val="28"/>
          <w:szCs w:val="28"/>
          <w:lang w:val="el-GR"/>
        </w:rPr>
        <w:t xml:space="preserve"> δεν αποκαλύπτεται οποιαδήποτε απόφαση του Υπουργού Εσωτερικών για επανεξέταση της κράτησης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ανά δίμηνο, όπως είναι η υποχρέωση του</w:t>
      </w:r>
      <w:r w:rsidR="00E7345C">
        <w:rPr>
          <w:rFonts w:ascii="Bookman Old Style" w:hAnsi="Bookman Old Style"/>
          <w:sz w:val="28"/>
          <w:szCs w:val="28"/>
          <w:lang w:val="el-GR"/>
        </w:rPr>
        <w:t xml:space="preserve"> βάσει του </w:t>
      </w:r>
      <w:r w:rsidR="00E7345C" w:rsidRPr="00E7345C">
        <w:rPr>
          <w:rFonts w:ascii="Bookman Old Style" w:hAnsi="Bookman Old Style"/>
          <w:b/>
          <w:bCs/>
          <w:i/>
          <w:iCs/>
          <w:sz w:val="28"/>
          <w:szCs w:val="28"/>
          <w:lang w:val="el-GR"/>
        </w:rPr>
        <w:t>Άρθρου 18ΠΣΤ(4)(β)</w:t>
      </w:r>
      <w:r w:rsidR="00E7345C">
        <w:rPr>
          <w:rFonts w:ascii="Bookman Old Style" w:hAnsi="Bookman Old Style"/>
          <w:sz w:val="28"/>
          <w:szCs w:val="28"/>
          <w:lang w:val="el-GR"/>
        </w:rPr>
        <w:t xml:space="preserve"> του </w:t>
      </w:r>
      <w:r w:rsidR="00E7345C" w:rsidRPr="00E7345C">
        <w:rPr>
          <w:rFonts w:ascii="Bookman Old Style" w:hAnsi="Bookman Old Style"/>
          <w:b/>
          <w:bCs/>
          <w:i/>
          <w:iCs/>
          <w:sz w:val="28"/>
          <w:szCs w:val="28"/>
          <w:lang w:val="el-GR"/>
        </w:rPr>
        <w:lastRenderedPageBreak/>
        <w:t>Νόμου</w:t>
      </w:r>
      <w:r>
        <w:rPr>
          <w:rFonts w:ascii="Bookman Old Style" w:hAnsi="Bookman Old Style"/>
          <w:sz w:val="28"/>
          <w:szCs w:val="28"/>
          <w:lang w:val="el-GR"/>
        </w:rPr>
        <w:t xml:space="preserve"> και ότι αυτό που προκύπτει από την ένορκη δήλωση </w:t>
      </w:r>
      <w:proofErr w:type="spellStart"/>
      <w:r>
        <w:rPr>
          <w:rFonts w:ascii="Bookman Old Style" w:hAnsi="Bookman Old Style"/>
          <w:sz w:val="28"/>
          <w:szCs w:val="28"/>
          <w:lang w:val="el-GR"/>
        </w:rPr>
        <w:t>Μαζέρη</w:t>
      </w:r>
      <w:proofErr w:type="spellEnd"/>
      <w:r>
        <w:rPr>
          <w:rFonts w:ascii="Bookman Old Style" w:hAnsi="Bookman Old Style"/>
          <w:sz w:val="28"/>
          <w:szCs w:val="28"/>
          <w:lang w:val="el-GR"/>
        </w:rPr>
        <w:t xml:space="preserve"> </w:t>
      </w:r>
      <w:r w:rsidR="00E7345C">
        <w:rPr>
          <w:rFonts w:ascii="Bookman Old Style" w:hAnsi="Bookman Old Style"/>
          <w:sz w:val="28"/>
          <w:szCs w:val="28"/>
          <w:lang w:val="el-GR"/>
        </w:rPr>
        <w:t xml:space="preserve">που συνοδεύει την Ένσταση </w:t>
      </w:r>
      <w:r>
        <w:rPr>
          <w:rFonts w:ascii="Bookman Old Style" w:hAnsi="Bookman Old Style"/>
          <w:sz w:val="28"/>
          <w:szCs w:val="28"/>
          <w:lang w:val="el-GR"/>
        </w:rPr>
        <w:t>είναι</w:t>
      </w:r>
      <w:r w:rsidR="00E7345C">
        <w:rPr>
          <w:rFonts w:ascii="Bookman Old Style" w:hAnsi="Bookman Old Style"/>
          <w:sz w:val="28"/>
          <w:szCs w:val="28"/>
          <w:lang w:val="el-GR"/>
        </w:rPr>
        <w:t xml:space="preserve"> ότι οι</w:t>
      </w:r>
      <w:r>
        <w:rPr>
          <w:rFonts w:ascii="Bookman Old Style" w:hAnsi="Bookman Old Style"/>
          <w:sz w:val="28"/>
          <w:szCs w:val="28"/>
          <w:lang w:val="el-GR"/>
        </w:rPr>
        <w:t xml:space="preserve"> αποφάσεις που λήφθηκαν</w:t>
      </w:r>
      <w:r w:rsidR="00E7345C">
        <w:rPr>
          <w:rFonts w:ascii="Bookman Old Style" w:hAnsi="Bookman Old Style"/>
          <w:sz w:val="28"/>
          <w:szCs w:val="28"/>
          <w:lang w:val="el-GR"/>
        </w:rPr>
        <w:t xml:space="preserve"> είναι</w:t>
      </w:r>
      <w:r>
        <w:rPr>
          <w:rFonts w:ascii="Bookman Old Style" w:hAnsi="Bookman Old Style"/>
          <w:sz w:val="28"/>
          <w:szCs w:val="28"/>
          <w:lang w:val="el-GR"/>
        </w:rPr>
        <w:t xml:space="preserve"> από το Τμήμα Αρχείου Πληθυσμού και Μετανάστευσης και όχι από τον Υπουργό Εσωτερικών.</w:t>
      </w:r>
      <w:r w:rsidR="005E7CF4">
        <w:rPr>
          <w:rFonts w:ascii="Bookman Old Style" w:hAnsi="Bookman Old Style"/>
          <w:sz w:val="28"/>
          <w:szCs w:val="28"/>
          <w:lang w:val="el-GR"/>
        </w:rPr>
        <w:t xml:space="preserve"> Διατείνεται, επίσης, ότι δεν υπήρξε ουσιώδης αξιολόγηση του κινδύνου διαφυγής  του </w:t>
      </w:r>
      <w:proofErr w:type="spellStart"/>
      <w:r w:rsidR="005E7CF4">
        <w:rPr>
          <w:rFonts w:ascii="Bookman Old Style" w:hAnsi="Bookman Old Style"/>
          <w:sz w:val="28"/>
          <w:szCs w:val="28"/>
          <w:lang w:val="el-GR"/>
        </w:rPr>
        <w:t>Αιτητή</w:t>
      </w:r>
      <w:proofErr w:type="spellEnd"/>
      <w:r w:rsidR="005E7CF4">
        <w:rPr>
          <w:rFonts w:ascii="Bookman Old Style" w:hAnsi="Bookman Old Style"/>
          <w:sz w:val="28"/>
          <w:szCs w:val="28"/>
          <w:lang w:val="el-GR"/>
        </w:rPr>
        <w:t xml:space="preserve">. </w:t>
      </w:r>
    </w:p>
    <w:p w14:paraId="4D76530C" w14:textId="77777777" w:rsidR="006C2374" w:rsidRDefault="006C2374" w:rsidP="006C2374">
      <w:pPr>
        <w:overflowPunct w:val="0"/>
        <w:spacing w:line="480" w:lineRule="auto"/>
        <w:ind w:right="62"/>
        <w:jc w:val="both"/>
        <w:rPr>
          <w:rFonts w:ascii="Bookman Old Style" w:hAnsi="Bookman Old Style"/>
          <w:sz w:val="28"/>
          <w:szCs w:val="28"/>
          <w:lang w:val="el-GR"/>
        </w:rPr>
      </w:pPr>
    </w:p>
    <w:p w14:paraId="112ADE49" w14:textId="2F06F660" w:rsidR="005E7CF4" w:rsidRPr="006C6BFD" w:rsidRDefault="005E7CF4" w:rsidP="006C2374">
      <w:pPr>
        <w:overflowPunct w:val="0"/>
        <w:spacing w:line="480" w:lineRule="auto"/>
        <w:ind w:right="62"/>
        <w:jc w:val="both"/>
        <w:rPr>
          <w:rFonts w:ascii="Bookman Old Style" w:hAnsi="Bookman Old Style" w:cs="Arial"/>
          <w:sz w:val="28"/>
          <w:szCs w:val="28"/>
          <w:lang w:val="el-GR"/>
        </w:rPr>
      </w:pPr>
      <w:r w:rsidRPr="006C6BFD">
        <w:rPr>
          <w:rFonts w:ascii="Bookman Old Style" w:hAnsi="Bookman Old Style" w:cs="Arial"/>
          <w:sz w:val="28"/>
          <w:szCs w:val="28"/>
          <w:lang w:val="el-GR"/>
        </w:rPr>
        <w:t xml:space="preserve">Την αντίθετη θέση πρόβαλε η πλευρά των </w:t>
      </w:r>
      <w:proofErr w:type="spellStart"/>
      <w:r w:rsidRPr="006C6BFD">
        <w:rPr>
          <w:rFonts w:ascii="Bookman Old Style" w:hAnsi="Bookman Old Style" w:cs="Arial"/>
          <w:sz w:val="28"/>
          <w:szCs w:val="28"/>
          <w:lang w:val="el-GR"/>
        </w:rPr>
        <w:t>Καθ’ων</w:t>
      </w:r>
      <w:proofErr w:type="spellEnd"/>
      <w:r w:rsidRPr="006C6BFD">
        <w:rPr>
          <w:rFonts w:ascii="Bookman Old Style" w:hAnsi="Bookman Old Style" w:cs="Arial"/>
          <w:sz w:val="28"/>
          <w:szCs w:val="28"/>
          <w:lang w:val="el-GR"/>
        </w:rPr>
        <w:t xml:space="preserve"> η Αίτηση επισημαίνοντας ότι συνεχίζουν να υφίστανται οι λόγοι κράτησης κατόπιν και σχετικών επανεξετάσεων που έγιναν μέχρι σήμερα. Όπως συναφώς υποστηρίχθηκε, το σύνολο του μεταναστευτικού προφίλ του </w:t>
      </w:r>
      <w:proofErr w:type="spellStart"/>
      <w:r w:rsidRPr="006C6BFD">
        <w:rPr>
          <w:rFonts w:ascii="Bookman Old Style" w:hAnsi="Bookman Old Style" w:cs="Arial"/>
          <w:sz w:val="28"/>
          <w:szCs w:val="28"/>
          <w:lang w:val="el-GR"/>
        </w:rPr>
        <w:t>Αιτητή</w:t>
      </w:r>
      <w:proofErr w:type="spellEnd"/>
      <w:r w:rsidRPr="006C6BFD">
        <w:rPr>
          <w:rFonts w:ascii="Bookman Old Style" w:hAnsi="Bookman Old Style" w:cs="Arial"/>
          <w:sz w:val="28"/>
          <w:szCs w:val="28"/>
          <w:lang w:val="el-GR"/>
        </w:rPr>
        <w:t xml:space="preserve"> καταδεικνύει ότι ο κίνδυνος διαφυγής του σε περίπτωση που αυτός αφεθεί ελεύθερος είναι ορατός και βέβαιος</w:t>
      </w:r>
      <w:r w:rsidR="00705CF7">
        <w:rPr>
          <w:rFonts w:ascii="Bookman Old Style" w:hAnsi="Bookman Old Style" w:cs="Arial"/>
          <w:sz w:val="28"/>
          <w:szCs w:val="28"/>
          <w:lang w:val="el-GR"/>
        </w:rPr>
        <w:t>,</w:t>
      </w:r>
      <w:r w:rsidRPr="006C6BFD">
        <w:rPr>
          <w:rFonts w:ascii="Bookman Old Style" w:hAnsi="Bookman Old Style" w:cs="Arial"/>
          <w:sz w:val="28"/>
          <w:szCs w:val="28"/>
          <w:lang w:val="el-GR"/>
        </w:rPr>
        <w:t xml:space="preserve"> καθότι ο ίδιος στο παρελθόν ουδόλως συμμορφωνόταν με τους Νόμους της Δημοκρατίας. </w:t>
      </w:r>
      <w:r w:rsidR="00575D35" w:rsidRPr="006C6BFD">
        <w:rPr>
          <w:rFonts w:ascii="Bookman Old Style" w:hAnsi="Bookman Old Style" w:cs="Arial"/>
          <w:sz w:val="28"/>
          <w:szCs w:val="28"/>
          <w:lang w:val="el-GR"/>
        </w:rPr>
        <w:t>Επιπλέον προβλήθηκε</w:t>
      </w:r>
      <w:r w:rsidR="006C6BFD" w:rsidRPr="006C6BFD">
        <w:rPr>
          <w:rFonts w:ascii="Bookman Old Style" w:hAnsi="Bookman Old Style" w:cs="Arial"/>
          <w:sz w:val="28"/>
          <w:szCs w:val="28"/>
          <w:lang w:val="el-GR"/>
        </w:rPr>
        <w:t xml:space="preserve"> ότι</w:t>
      </w:r>
      <w:r w:rsidR="00575D35" w:rsidRPr="006C6BFD">
        <w:rPr>
          <w:rFonts w:ascii="Bookman Old Style" w:hAnsi="Bookman Old Style" w:cs="Arial"/>
          <w:sz w:val="28"/>
          <w:szCs w:val="28"/>
          <w:lang w:val="el-GR"/>
        </w:rPr>
        <w:t xml:space="preserve"> </w:t>
      </w:r>
      <w:r w:rsidR="006C6BFD" w:rsidRPr="006C6BFD">
        <w:rPr>
          <w:rFonts w:ascii="Bookman Old Style" w:hAnsi="Bookman Old Style" w:cs="Arial"/>
          <w:sz w:val="28"/>
          <w:szCs w:val="28"/>
          <w:lang w:val="el-GR"/>
        </w:rPr>
        <w:t>μ</w:t>
      </w:r>
      <w:r w:rsidRPr="006C6BFD">
        <w:rPr>
          <w:rFonts w:ascii="Bookman Old Style" w:hAnsi="Bookman Old Style" w:cs="Arial"/>
          <w:sz w:val="28"/>
          <w:szCs w:val="28"/>
          <w:lang w:val="el-GR"/>
        </w:rPr>
        <w:t>ετά τη σύλληψη και κράτηση του, έγινε προσπάθεια για επαναπατρισμό του η οποία, ωστόσο, δεν καρποφόρησε λόγω της δικής του άρνησης.</w:t>
      </w:r>
    </w:p>
    <w:p w14:paraId="35EE3290" w14:textId="77777777" w:rsidR="006C2374" w:rsidRPr="006C6BFD" w:rsidRDefault="006C2374" w:rsidP="006C2374">
      <w:pPr>
        <w:overflowPunct w:val="0"/>
        <w:spacing w:line="480" w:lineRule="auto"/>
        <w:ind w:right="62"/>
        <w:jc w:val="both"/>
        <w:rPr>
          <w:rFonts w:ascii="Bookman Old Style" w:hAnsi="Bookman Old Style" w:cs="Arial"/>
          <w:sz w:val="28"/>
          <w:szCs w:val="28"/>
          <w:lang w:val="el-GR"/>
        </w:rPr>
      </w:pPr>
    </w:p>
    <w:p w14:paraId="727A33A1" w14:textId="005E6986" w:rsidR="00C77801" w:rsidRPr="006C6BFD" w:rsidRDefault="00C77801" w:rsidP="006C2374">
      <w:pPr>
        <w:overflowPunct w:val="0"/>
        <w:spacing w:line="480" w:lineRule="auto"/>
        <w:ind w:right="62"/>
        <w:jc w:val="both"/>
        <w:rPr>
          <w:rFonts w:ascii="Bookman Old Style" w:hAnsi="Bookman Old Style" w:cs="Arial"/>
          <w:sz w:val="28"/>
          <w:szCs w:val="28"/>
          <w:lang w:val="el-GR"/>
        </w:rPr>
      </w:pPr>
      <w:r w:rsidRPr="006C6BFD">
        <w:rPr>
          <w:rFonts w:ascii="Bookman Old Style" w:hAnsi="Bookman Old Style" w:cs="Arial"/>
          <w:sz w:val="28"/>
          <w:szCs w:val="28"/>
          <w:lang w:val="el-GR"/>
        </w:rPr>
        <w:t xml:space="preserve">Όπως προκύπτει από το </w:t>
      </w:r>
      <w:r w:rsidRPr="006C6BFD">
        <w:rPr>
          <w:rFonts w:ascii="Bookman Old Style" w:hAnsi="Bookman Old Style" w:cs="Arial"/>
          <w:b/>
          <w:bCs/>
          <w:sz w:val="28"/>
          <w:szCs w:val="28"/>
          <w:lang w:val="el-GR"/>
        </w:rPr>
        <w:t>Τεκμήριο 10</w:t>
      </w:r>
      <w:r w:rsidR="006C6BFD">
        <w:rPr>
          <w:rFonts w:ascii="Bookman Old Style" w:hAnsi="Bookman Old Style" w:cs="Arial"/>
          <w:sz w:val="28"/>
          <w:szCs w:val="28"/>
          <w:lang w:val="el-GR"/>
        </w:rPr>
        <w:t>,</w:t>
      </w:r>
      <w:r w:rsidRPr="006C6BFD">
        <w:rPr>
          <w:rFonts w:ascii="Bookman Old Style" w:hAnsi="Bookman Old Style" w:cs="Arial"/>
          <w:sz w:val="28"/>
          <w:szCs w:val="28"/>
          <w:lang w:val="el-GR"/>
        </w:rPr>
        <w:t xml:space="preserve"> στις 10/5/2023, 3/7/2023</w:t>
      </w:r>
      <w:r w:rsidR="00705CF7">
        <w:rPr>
          <w:rFonts w:ascii="Bookman Old Style" w:hAnsi="Bookman Old Style" w:cs="Arial"/>
          <w:sz w:val="28"/>
          <w:szCs w:val="28"/>
          <w:lang w:val="el-GR"/>
        </w:rPr>
        <w:t>,</w:t>
      </w:r>
      <w:r w:rsidRPr="006C6BFD">
        <w:rPr>
          <w:rFonts w:ascii="Bookman Old Style" w:hAnsi="Bookman Old Style" w:cs="Arial"/>
          <w:sz w:val="28"/>
          <w:szCs w:val="28"/>
          <w:lang w:val="el-GR"/>
        </w:rPr>
        <w:t xml:space="preserve"> 5/9/2023 και 6/11/2023 έγιναν επανεξετάσεις της κράτησης του </w:t>
      </w:r>
      <w:proofErr w:type="spellStart"/>
      <w:r w:rsidRPr="006C6BFD">
        <w:rPr>
          <w:rFonts w:ascii="Bookman Old Style" w:hAnsi="Bookman Old Style" w:cs="Arial"/>
          <w:sz w:val="28"/>
          <w:szCs w:val="28"/>
          <w:lang w:val="el-GR"/>
        </w:rPr>
        <w:t>Αιτητή</w:t>
      </w:r>
      <w:proofErr w:type="spellEnd"/>
      <w:r w:rsidRPr="006C6BFD">
        <w:rPr>
          <w:rFonts w:ascii="Bookman Old Style" w:hAnsi="Bookman Old Style" w:cs="Arial"/>
          <w:sz w:val="28"/>
          <w:szCs w:val="28"/>
          <w:lang w:val="el-GR"/>
        </w:rPr>
        <w:t xml:space="preserve"> από Λειτουργό</w:t>
      </w:r>
      <w:r>
        <w:rPr>
          <w:rFonts w:ascii="Bookman Old Style" w:hAnsi="Bookman Old Style" w:cs="Arial"/>
          <w:sz w:val="28"/>
          <w:szCs w:val="28"/>
          <w:lang w:val="el-GR"/>
        </w:rPr>
        <w:t xml:space="preserve"> του </w:t>
      </w:r>
      <w:r w:rsidRPr="006C6BFD">
        <w:rPr>
          <w:rFonts w:ascii="Bookman Old Style" w:hAnsi="Bookman Old Style" w:cs="Arial"/>
          <w:sz w:val="28"/>
          <w:szCs w:val="28"/>
          <w:lang w:val="el-GR"/>
        </w:rPr>
        <w:t>Τμήματος</w:t>
      </w:r>
      <w:r w:rsidR="00705CF7">
        <w:rPr>
          <w:rFonts w:ascii="Bookman Old Style" w:hAnsi="Bookman Old Style" w:cs="Arial"/>
          <w:sz w:val="28"/>
          <w:szCs w:val="28"/>
          <w:lang w:val="el-GR"/>
        </w:rPr>
        <w:t>,</w:t>
      </w:r>
      <w:r w:rsidRPr="006C6BFD">
        <w:rPr>
          <w:rFonts w:ascii="Bookman Old Style" w:hAnsi="Bookman Old Style" w:cs="Arial"/>
          <w:sz w:val="28"/>
          <w:szCs w:val="28"/>
          <w:lang w:val="el-GR"/>
        </w:rPr>
        <w:t xml:space="preserve"> οι οποίες και εγκρίθηκαν από το Διευθυντή του Τμήματος. Με δεδομένο ότι ο Υπουργός δύναται, δυνάμει του </w:t>
      </w:r>
      <w:r w:rsidRPr="006C6BFD">
        <w:rPr>
          <w:rFonts w:ascii="Bookman Old Style" w:hAnsi="Bookman Old Style" w:cs="Arial"/>
          <w:b/>
          <w:bCs/>
          <w:i/>
          <w:iCs/>
          <w:sz w:val="28"/>
          <w:szCs w:val="28"/>
          <w:lang w:val="el-GR"/>
        </w:rPr>
        <w:t xml:space="preserve">Άρθρου </w:t>
      </w:r>
      <w:r w:rsidRPr="006C6BFD">
        <w:rPr>
          <w:rFonts w:ascii="Bookman Old Style" w:hAnsi="Bookman Old Style" w:cs="Arial"/>
          <w:b/>
          <w:bCs/>
          <w:i/>
          <w:iCs/>
          <w:sz w:val="28"/>
          <w:szCs w:val="28"/>
          <w:lang w:val="el-GR"/>
        </w:rPr>
        <w:lastRenderedPageBreak/>
        <w:t>3(2) του περί Εκχωρήσεως της Ενασκήσεως των Εξουσιών των Απορρεουσών εκ τινός Νόμου του 1962 (Ν.</w:t>
      </w:r>
      <w:r w:rsidR="00705CF7">
        <w:rPr>
          <w:rFonts w:ascii="Bookman Old Style" w:hAnsi="Bookman Old Style" w:cs="Arial"/>
          <w:b/>
          <w:bCs/>
          <w:i/>
          <w:iCs/>
          <w:sz w:val="28"/>
          <w:szCs w:val="28"/>
          <w:lang w:val="el-GR"/>
        </w:rPr>
        <w:t xml:space="preserve"> </w:t>
      </w:r>
      <w:r w:rsidRPr="006C6BFD">
        <w:rPr>
          <w:rFonts w:ascii="Bookman Old Style" w:hAnsi="Bookman Old Style" w:cs="Arial"/>
          <w:b/>
          <w:bCs/>
          <w:i/>
          <w:iCs/>
          <w:sz w:val="28"/>
          <w:szCs w:val="28"/>
          <w:lang w:val="el-GR"/>
        </w:rPr>
        <w:t>23/1962)</w:t>
      </w:r>
      <w:r w:rsidRPr="006C6BFD">
        <w:rPr>
          <w:rFonts w:ascii="Bookman Old Style" w:hAnsi="Bookman Old Style" w:cs="Arial"/>
          <w:sz w:val="28"/>
          <w:szCs w:val="28"/>
          <w:lang w:val="el-GR"/>
        </w:rPr>
        <w:t>, να εξουσιοδοτήσει άλλο πρόσωπο το οποίο κατέχει αρμόδια θέση στην υπηρεσία του να ενασκεί τις εξουσίες εκ μέρους του, θεωρώ ότι εφαρμόζεται</w:t>
      </w:r>
      <w:r w:rsidR="009E2DD8">
        <w:rPr>
          <w:rFonts w:ascii="Bookman Old Style" w:hAnsi="Bookman Old Style" w:cs="Arial"/>
          <w:sz w:val="28"/>
          <w:szCs w:val="28"/>
          <w:lang w:val="el-GR"/>
        </w:rPr>
        <w:t>, εν προκειμένω,</w:t>
      </w:r>
      <w:r w:rsidRPr="006C6BFD">
        <w:rPr>
          <w:rFonts w:ascii="Bookman Old Style" w:hAnsi="Bookman Old Style" w:cs="Arial"/>
          <w:sz w:val="28"/>
          <w:szCs w:val="28"/>
          <w:lang w:val="el-GR"/>
        </w:rPr>
        <w:t xml:space="preserve"> το τεκμήριο της κανονικότητας.</w:t>
      </w:r>
    </w:p>
    <w:p w14:paraId="1295F054" w14:textId="77777777" w:rsidR="006C2374" w:rsidRDefault="006C2374" w:rsidP="006C2374">
      <w:pPr>
        <w:overflowPunct w:val="0"/>
        <w:spacing w:line="480" w:lineRule="auto"/>
        <w:ind w:right="62"/>
        <w:jc w:val="both"/>
        <w:rPr>
          <w:rFonts w:ascii="Arial" w:hAnsi="Arial" w:cs="Arial"/>
          <w:sz w:val="28"/>
          <w:szCs w:val="28"/>
          <w:lang w:val="el-GR"/>
        </w:rPr>
      </w:pPr>
    </w:p>
    <w:p w14:paraId="664EEF4E" w14:textId="1698A7BF" w:rsidR="001C6A37" w:rsidRDefault="001C6A37" w:rsidP="005614AF">
      <w:pPr>
        <w:spacing w:line="480" w:lineRule="auto"/>
        <w:jc w:val="both"/>
        <w:rPr>
          <w:rFonts w:ascii="Bookman Old Style" w:hAnsi="Bookman Old Style"/>
          <w:sz w:val="28"/>
          <w:szCs w:val="28"/>
          <w:lang w:val="el-GR"/>
        </w:rPr>
      </w:pPr>
      <w:r w:rsidRPr="001C6A37">
        <w:rPr>
          <w:rFonts w:ascii="Bookman Old Style" w:hAnsi="Bookman Old Style"/>
          <w:sz w:val="28"/>
          <w:szCs w:val="28"/>
          <w:lang w:val="el-GR"/>
        </w:rPr>
        <w:t xml:space="preserve">Αποτελεί αρχή της νομολογίας ότι η διάρκεια της κράτησης δεν εξετάζεται </w:t>
      </w:r>
      <w:r w:rsidRPr="001C6A37">
        <w:rPr>
          <w:rFonts w:ascii="Bookman Old Style" w:hAnsi="Bookman Old Style"/>
          <w:i/>
          <w:iCs/>
          <w:sz w:val="28"/>
          <w:szCs w:val="28"/>
          <w:lang w:val="en-US"/>
        </w:rPr>
        <w:t>in</w:t>
      </w:r>
      <w:r w:rsidRPr="001C6A37">
        <w:rPr>
          <w:rFonts w:ascii="Bookman Old Style" w:hAnsi="Bookman Old Style"/>
          <w:i/>
          <w:iCs/>
          <w:sz w:val="28"/>
          <w:szCs w:val="28"/>
          <w:lang w:val="el-GR"/>
        </w:rPr>
        <w:t xml:space="preserve"> </w:t>
      </w:r>
      <w:proofErr w:type="spellStart"/>
      <w:r w:rsidRPr="001C6A37">
        <w:rPr>
          <w:rFonts w:ascii="Bookman Old Style" w:hAnsi="Bookman Old Style"/>
          <w:i/>
          <w:iCs/>
          <w:sz w:val="28"/>
          <w:szCs w:val="28"/>
          <w:lang w:val="en-US"/>
        </w:rPr>
        <w:t>abstracto</w:t>
      </w:r>
      <w:proofErr w:type="spellEnd"/>
      <w:r w:rsidRPr="001C6A37">
        <w:rPr>
          <w:rFonts w:ascii="Bookman Old Style" w:hAnsi="Bookman Old Style"/>
          <w:sz w:val="28"/>
          <w:szCs w:val="28"/>
          <w:lang w:val="el-GR"/>
        </w:rPr>
        <w:t xml:space="preserve">, αλλά στη βάση των συγκεκριμένων γεγονότων της υπόθεσης (βλ. </w:t>
      </w:r>
      <w:r w:rsidRPr="001C6A37">
        <w:rPr>
          <w:rFonts w:ascii="Bookman Old Style" w:hAnsi="Bookman Old Style"/>
          <w:b/>
          <w:bCs/>
          <w:i/>
          <w:iCs/>
          <w:sz w:val="28"/>
          <w:szCs w:val="28"/>
          <w:lang w:val="pt-PT"/>
        </w:rPr>
        <w:t>Essa</w:t>
      </w:r>
      <w:r w:rsidRPr="001C6A37">
        <w:rPr>
          <w:rFonts w:ascii="Bookman Old Style" w:hAnsi="Bookman Old Style"/>
          <w:b/>
          <w:bCs/>
          <w:i/>
          <w:iCs/>
          <w:sz w:val="28"/>
          <w:szCs w:val="28"/>
          <w:lang w:val="el-GR"/>
        </w:rPr>
        <w:t xml:space="preserve"> </w:t>
      </w:r>
      <w:r w:rsidRPr="001C6A37">
        <w:rPr>
          <w:rFonts w:ascii="Bookman Old Style" w:hAnsi="Bookman Old Style"/>
          <w:b/>
          <w:bCs/>
          <w:i/>
          <w:iCs/>
          <w:sz w:val="28"/>
          <w:szCs w:val="28"/>
          <w:lang w:val="pt-PT"/>
        </w:rPr>
        <w:t>Murad</w:t>
      </w:r>
      <w:r w:rsidRPr="001C6A37">
        <w:rPr>
          <w:rFonts w:ascii="Bookman Old Style" w:hAnsi="Bookman Old Style"/>
          <w:b/>
          <w:bCs/>
          <w:i/>
          <w:iCs/>
          <w:sz w:val="28"/>
          <w:szCs w:val="28"/>
          <w:lang w:val="el-GR"/>
        </w:rPr>
        <w:t xml:space="preserve"> </w:t>
      </w:r>
      <w:r w:rsidRPr="001C6A37">
        <w:rPr>
          <w:rFonts w:ascii="Bookman Old Style" w:hAnsi="Bookman Old Style"/>
          <w:b/>
          <w:bCs/>
          <w:i/>
          <w:iCs/>
          <w:sz w:val="28"/>
          <w:szCs w:val="28"/>
          <w:lang w:val="pt-PT"/>
        </w:rPr>
        <w:t>Khlaief</w:t>
      </w:r>
      <w:r w:rsidRPr="001C6A37">
        <w:rPr>
          <w:rFonts w:ascii="Bookman Old Style" w:hAnsi="Bookman Old Style"/>
          <w:b/>
          <w:bCs/>
          <w:i/>
          <w:iCs/>
          <w:sz w:val="28"/>
          <w:szCs w:val="28"/>
          <w:lang w:val="el-GR"/>
        </w:rPr>
        <w:t xml:space="preserve"> (2003) 1 Α</w:t>
      </w:r>
      <w:r w:rsidR="009B21C3">
        <w:rPr>
          <w:rFonts w:ascii="Bookman Old Style" w:hAnsi="Bookman Old Style"/>
          <w:b/>
          <w:bCs/>
          <w:i/>
          <w:iCs/>
          <w:sz w:val="28"/>
          <w:szCs w:val="28"/>
          <w:lang w:val="el-GR"/>
        </w:rPr>
        <w:t>.</w:t>
      </w:r>
      <w:r w:rsidRPr="001C6A37">
        <w:rPr>
          <w:rFonts w:ascii="Bookman Old Style" w:hAnsi="Bookman Old Style"/>
          <w:b/>
          <w:bCs/>
          <w:i/>
          <w:iCs/>
          <w:sz w:val="28"/>
          <w:szCs w:val="28"/>
          <w:lang w:val="el-GR"/>
        </w:rPr>
        <w:t>Α</w:t>
      </w:r>
      <w:r w:rsidR="009B21C3">
        <w:rPr>
          <w:rFonts w:ascii="Bookman Old Style" w:hAnsi="Bookman Old Style"/>
          <w:b/>
          <w:bCs/>
          <w:i/>
          <w:iCs/>
          <w:sz w:val="28"/>
          <w:szCs w:val="28"/>
          <w:lang w:val="el-GR"/>
        </w:rPr>
        <w:t>.</w:t>
      </w:r>
      <w:r w:rsidRPr="001C6A37">
        <w:rPr>
          <w:rFonts w:ascii="Bookman Old Style" w:hAnsi="Bookman Old Style"/>
          <w:b/>
          <w:bCs/>
          <w:i/>
          <w:iCs/>
          <w:sz w:val="28"/>
          <w:szCs w:val="28"/>
          <w:lang w:val="el-GR"/>
        </w:rPr>
        <w:t>Δ</w:t>
      </w:r>
      <w:r w:rsidR="009B21C3">
        <w:rPr>
          <w:rFonts w:ascii="Bookman Old Style" w:hAnsi="Bookman Old Style"/>
          <w:b/>
          <w:bCs/>
          <w:i/>
          <w:iCs/>
          <w:sz w:val="28"/>
          <w:szCs w:val="28"/>
          <w:lang w:val="el-GR"/>
        </w:rPr>
        <w:t>.</w:t>
      </w:r>
      <w:r w:rsidRPr="001C6A37">
        <w:rPr>
          <w:rFonts w:ascii="Bookman Old Style" w:hAnsi="Bookman Old Style"/>
          <w:b/>
          <w:bCs/>
          <w:i/>
          <w:iCs/>
          <w:sz w:val="28"/>
          <w:szCs w:val="28"/>
          <w:lang w:val="el-GR"/>
        </w:rPr>
        <w:t xml:space="preserve"> 1402</w:t>
      </w:r>
      <w:r w:rsidRPr="001C6A37">
        <w:rPr>
          <w:rFonts w:ascii="Bookman Old Style" w:hAnsi="Bookman Old Style"/>
          <w:sz w:val="28"/>
          <w:szCs w:val="28"/>
          <w:lang w:val="el-GR"/>
        </w:rPr>
        <w:t xml:space="preserve"> και </w:t>
      </w:r>
      <w:r w:rsidRPr="001C6A37">
        <w:rPr>
          <w:rFonts w:ascii="Bookman Old Style" w:hAnsi="Bookman Old Style"/>
          <w:b/>
          <w:bCs/>
          <w:i/>
          <w:iCs/>
          <w:sz w:val="28"/>
          <w:szCs w:val="28"/>
          <w:lang w:val="pt-PT"/>
        </w:rPr>
        <w:t>Habibi</w:t>
      </w:r>
      <w:r w:rsidRPr="001C6A37">
        <w:rPr>
          <w:rFonts w:ascii="Bookman Old Style" w:hAnsi="Bookman Old Style"/>
          <w:b/>
          <w:bCs/>
          <w:i/>
          <w:iCs/>
          <w:sz w:val="28"/>
          <w:szCs w:val="28"/>
          <w:lang w:val="el-GR"/>
        </w:rPr>
        <w:t xml:space="preserve"> </w:t>
      </w:r>
      <w:r w:rsidRPr="001C6A37">
        <w:rPr>
          <w:rFonts w:ascii="Bookman Old Style" w:hAnsi="Bookman Old Style"/>
          <w:b/>
          <w:bCs/>
          <w:i/>
          <w:iCs/>
          <w:sz w:val="28"/>
          <w:szCs w:val="28"/>
          <w:lang w:val="pt-PT"/>
        </w:rPr>
        <w:t>Pour</w:t>
      </w:r>
      <w:r w:rsidRPr="001C6A37">
        <w:rPr>
          <w:rFonts w:ascii="Bookman Old Style" w:hAnsi="Bookman Old Style"/>
          <w:b/>
          <w:bCs/>
          <w:i/>
          <w:iCs/>
          <w:sz w:val="28"/>
          <w:szCs w:val="28"/>
          <w:lang w:val="el-GR"/>
        </w:rPr>
        <w:t xml:space="preserve"> </w:t>
      </w:r>
      <w:r w:rsidRPr="001C6A37">
        <w:rPr>
          <w:rFonts w:ascii="Bookman Old Style" w:hAnsi="Bookman Old Style"/>
          <w:b/>
          <w:bCs/>
          <w:i/>
          <w:iCs/>
          <w:sz w:val="28"/>
          <w:szCs w:val="28"/>
          <w:lang w:val="pt-PT"/>
        </w:rPr>
        <w:t>Ali</w:t>
      </w:r>
      <w:r w:rsidRPr="001C6A37">
        <w:rPr>
          <w:rFonts w:ascii="Bookman Old Style" w:hAnsi="Bookman Old Style"/>
          <w:b/>
          <w:bCs/>
          <w:i/>
          <w:iCs/>
          <w:sz w:val="28"/>
          <w:szCs w:val="28"/>
          <w:lang w:val="el-GR"/>
        </w:rPr>
        <w:t xml:space="preserve"> </w:t>
      </w:r>
      <w:r w:rsidRPr="001C6A37">
        <w:rPr>
          <w:rFonts w:ascii="Bookman Old Style" w:hAnsi="Bookman Old Style"/>
          <w:b/>
          <w:bCs/>
          <w:i/>
          <w:iCs/>
          <w:sz w:val="28"/>
          <w:szCs w:val="28"/>
          <w:lang w:val="pt-PT"/>
        </w:rPr>
        <w:t>Fasel</w:t>
      </w:r>
      <w:r w:rsidRPr="001C6A37">
        <w:rPr>
          <w:rFonts w:ascii="Bookman Old Style" w:hAnsi="Bookman Old Style"/>
          <w:b/>
          <w:bCs/>
          <w:i/>
          <w:iCs/>
          <w:sz w:val="28"/>
          <w:szCs w:val="28"/>
          <w:lang w:val="el-GR"/>
        </w:rPr>
        <w:t xml:space="preserve">, Πολιτική Έφεση </w:t>
      </w:r>
      <w:proofErr w:type="spellStart"/>
      <w:r w:rsidRPr="001C6A37">
        <w:rPr>
          <w:rFonts w:ascii="Bookman Old Style" w:hAnsi="Bookman Old Style"/>
          <w:b/>
          <w:bCs/>
          <w:i/>
          <w:iCs/>
          <w:sz w:val="28"/>
          <w:szCs w:val="28"/>
          <w:lang w:val="el-GR"/>
        </w:rPr>
        <w:t>Αρ</w:t>
      </w:r>
      <w:proofErr w:type="spellEnd"/>
      <w:r w:rsidRPr="001C6A37">
        <w:rPr>
          <w:rFonts w:ascii="Bookman Old Style" w:hAnsi="Bookman Old Style"/>
          <w:b/>
          <w:bCs/>
          <w:i/>
          <w:iCs/>
          <w:sz w:val="28"/>
          <w:szCs w:val="28"/>
          <w:lang w:val="el-GR"/>
        </w:rPr>
        <w:t xml:space="preserve">. 236/15, </w:t>
      </w:r>
      <w:proofErr w:type="spellStart"/>
      <w:r w:rsidRPr="001C6A37">
        <w:rPr>
          <w:rFonts w:ascii="Bookman Old Style" w:hAnsi="Bookman Old Style"/>
          <w:b/>
          <w:bCs/>
          <w:i/>
          <w:iCs/>
          <w:sz w:val="28"/>
          <w:szCs w:val="28"/>
          <w:lang w:val="el-GR"/>
        </w:rPr>
        <w:t>ημερ</w:t>
      </w:r>
      <w:proofErr w:type="spellEnd"/>
      <w:r w:rsidRPr="001C6A37">
        <w:rPr>
          <w:rFonts w:ascii="Bookman Old Style" w:hAnsi="Bookman Old Style"/>
          <w:b/>
          <w:bCs/>
          <w:i/>
          <w:iCs/>
          <w:sz w:val="28"/>
          <w:szCs w:val="28"/>
          <w:lang w:val="el-GR"/>
        </w:rPr>
        <w:t>. 31/3/2016</w:t>
      </w:r>
      <w:r w:rsidRPr="001C6A37">
        <w:rPr>
          <w:rFonts w:ascii="Bookman Old Style" w:hAnsi="Bookman Old Style"/>
          <w:sz w:val="28"/>
          <w:szCs w:val="28"/>
          <w:lang w:val="el-GR"/>
        </w:rPr>
        <w:t>).</w:t>
      </w:r>
    </w:p>
    <w:p w14:paraId="76C64A97" w14:textId="77777777" w:rsidR="002070E4" w:rsidRDefault="002070E4" w:rsidP="005614AF">
      <w:pPr>
        <w:spacing w:line="480" w:lineRule="auto"/>
        <w:jc w:val="both"/>
        <w:rPr>
          <w:rFonts w:ascii="Bookman Old Style" w:hAnsi="Bookman Old Style"/>
          <w:sz w:val="28"/>
          <w:szCs w:val="28"/>
          <w:lang w:val="el-GR"/>
        </w:rPr>
      </w:pPr>
    </w:p>
    <w:p w14:paraId="1E88F8FE" w14:textId="55F2F771" w:rsidR="002070E4" w:rsidRDefault="002070E4" w:rsidP="005614AF">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Σε σχέση με το βάρος απόδειξης σε τέτοιου είδους αιτήσεις αναφέρονται τα ακόλουθα στην υπόθεση </w:t>
      </w:r>
      <w:r>
        <w:rPr>
          <w:rFonts w:ascii="Bookman Old Style" w:hAnsi="Bookman Old Style"/>
          <w:b/>
          <w:bCs/>
          <w:i/>
          <w:iCs/>
          <w:sz w:val="28"/>
          <w:szCs w:val="28"/>
          <w:lang w:val="el-GR"/>
        </w:rPr>
        <w:t>Καλφοπούλου (1998) 1(Α) Α.Α.Δ. 55, 69-70</w:t>
      </w:r>
      <w:r>
        <w:rPr>
          <w:rFonts w:ascii="Bookman Old Style" w:hAnsi="Bookman Old Style"/>
          <w:sz w:val="28"/>
          <w:szCs w:val="28"/>
          <w:lang w:val="el-GR"/>
        </w:rPr>
        <w:t>:</w:t>
      </w:r>
    </w:p>
    <w:p w14:paraId="08A3F2EA" w14:textId="77777777" w:rsidR="002070E4" w:rsidRDefault="002070E4" w:rsidP="005614AF">
      <w:pPr>
        <w:spacing w:line="480" w:lineRule="auto"/>
        <w:jc w:val="both"/>
        <w:rPr>
          <w:rFonts w:ascii="Bookman Old Style" w:hAnsi="Bookman Old Style"/>
          <w:sz w:val="28"/>
          <w:szCs w:val="28"/>
          <w:lang w:val="el-GR"/>
        </w:rPr>
      </w:pPr>
    </w:p>
    <w:p w14:paraId="727BE226" w14:textId="0E8DAE4D" w:rsidR="002070E4" w:rsidRPr="009E2DD8" w:rsidRDefault="007609F3" w:rsidP="007609F3">
      <w:pPr>
        <w:spacing w:line="276" w:lineRule="auto"/>
        <w:ind w:left="426" w:right="390"/>
        <w:jc w:val="both"/>
        <w:rPr>
          <w:rFonts w:ascii="Bookman Old Style" w:hAnsi="Bookman Old Style"/>
          <w:i/>
          <w:iCs/>
          <w:sz w:val="26"/>
          <w:szCs w:val="26"/>
          <w:lang w:val="el-GR"/>
        </w:rPr>
      </w:pPr>
      <w:r w:rsidRPr="009E2DD8">
        <w:rPr>
          <w:rFonts w:ascii="Bookman Old Style" w:hAnsi="Bookman Old Style"/>
          <w:i/>
          <w:iCs/>
          <w:sz w:val="26"/>
          <w:szCs w:val="26"/>
          <w:lang w:val="el-GR"/>
        </w:rPr>
        <w:t xml:space="preserve">«Το βάρος απόδειξης ότι εκ πρώτης όψης μια κράτηση είναι παράνομη, το έχει ο </w:t>
      </w:r>
      <w:proofErr w:type="spellStart"/>
      <w:r w:rsidRPr="009E2DD8">
        <w:rPr>
          <w:rFonts w:ascii="Bookman Old Style" w:hAnsi="Bookman Old Style"/>
          <w:i/>
          <w:iCs/>
          <w:sz w:val="26"/>
          <w:szCs w:val="26"/>
          <w:lang w:val="el-GR"/>
        </w:rPr>
        <w:t>αιτητής</w:t>
      </w:r>
      <w:proofErr w:type="spellEnd"/>
      <w:r w:rsidRPr="009E2DD8">
        <w:rPr>
          <w:rFonts w:ascii="Bookman Old Style" w:hAnsi="Bookman Old Style"/>
          <w:i/>
          <w:iCs/>
          <w:sz w:val="26"/>
          <w:szCs w:val="26"/>
          <w:lang w:val="el-GR"/>
        </w:rPr>
        <w:t xml:space="preserve">. Σαν θέμα τακτικής ο </w:t>
      </w:r>
      <w:proofErr w:type="spellStart"/>
      <w:r w:rsidRPr="009E2DD8">
        <w:rPr>
          <w:rFonts w:ascii="Bookman Old Style" w:hAnsi="Bookman Old Style"/>
          <w:i/>
          <w:iCs/>
          <w:sz w:val="26"/>
          <w:szCs w:val="26"/>
          <w:lang w:val="el-GR"/>
        </w:rPr>
        <w:t>αιτητής</w:t>
      </w:r>
      <w:proofErr w:type="spellEnd"/>
      <w:r w:rsidRPr="009E2DD8">
        <w:rPr>
          <w:rFonts w:ascii="Bookman Old Style" w:hAnsi="Bookman Old Style"/>
          <w:i/>
          <w:iCs/>
          <w:sz w:val="26"/>
          <w:szCs w:val="26"/>
          <w:lang w:val="el-GR"/>
        </w:rPr>
        <w:t xml:space="preserve"> πρέπει να αποδείξει μια εκ πρώτης όψης υπόθεση που δημιουργεί ερωτηματικά ως προς τη νομιμότητα της κράτησής του. Όταν η υπόθεση του βασίζεται πάνω σε γεγονότα έχει το αποδεικτικό βάρος (</w:t>
      </w:r>
      <w:r w:rsidRPr="009E2DD8">
        <w:rPr>
          <w:rFonts w:ascii="Bookman Old Style" w:hAnsi="Bookman Old Style"/>
          <w:i/>
          <w:iCs/>
          <w:sz w:val="26"/>
          <w:szCs w:val="26"/>
          <w:lang w:val="en-US"/>
        </w:rPr>
        <w:t>evidential</w:t>
      </w:r>
      <w:r w:rsidRPr="009E2DD8">
        <w:rPr>
          <w:rFonts w:ascii="Bookman Old Style" w:hAnsi="Bookman Old Style"/>
          <w:i/>
          <w:iCs/>
          <w:sz w:val="26"/>
          <w:szCs w:val="26"/>
          <w:lang w:val="el-GR"/>
        </w:rPr>
        <w:t xml:space="preserve"> </w:t>
      </w:r>
      <w:proofErr w:type="spellStart"/>
      <w:r w:rsidRPr="009E2DD8">
        <w:rPr>
          <w:rFonts w:ascii="Bookman Old Style" w:hAnsi="Bookman Old Style"/>
          <w:i/>
          <w:iCs/>
          <w:sz w:val="26"/>
          <w:szCs w:val="26"/>
          <w:lang w:val="el-GR"/>
        </w:rPr>
        <w:t>burden</w:t>
      </w:r>
      <w:proofErr w:type="spellEnd"/>
      <w:r w:rsidRPr="009E2DD8">
        <w:rPr>
          <w:rFonts w:ascii="Bookman Old Style" w:hAnsi="Bookman Old Style"/>
          <w:i/>
          <w:iCs/>
          <w:sz w:val="26"/>
          <w:szCs w:val="26"/>
          <w:lang w:val="el-GR"/>
        </w:rPr>
        <w:t>) να παρουσιάσει ικανοποιητική μαρτυρία που μπορεί να οδηγήσει στην πιθανότητα ενός ευνοϊκού για τον ίδιο συμπεράσματος. Σε μια τέτοια περίπτωση το νομικό βάρος (</w:t>
      </w:r>
      <w:r w:rsidRPr="009E2DD8">
        <w:rPr>
          <w:rFonts w:ascii="Bookman Old Style" w:hAnsi="Bookman Old Style"/>
          <w:i/>
          <w:iCs/>
          <w:sz w:val="26"/>
          <w:szCs w:val="26"/>
          <w:lang w:val="en-US"/>
        </w:rPr>
        <w:t>legal</w:t>
      </w:r>
      <w:r w:rsidRPr="009E2DD8">
        <w:rPr>
          <w:rFonts w:ascii="Bookman Old Style" w:hAnsi="Bookman Old Style"/>
          <w:i/>
          <w:iCs/>
          <w:sz w:val="26"/>
          <w:szCs w:val="26"/>
          <w:lang w:val="el-GR"/>
        </w:rPr>
        <w:t xml:space="preserve"> </w:t>
      </w:r>
      <w:r w:rsidRPr="009E2DD8">
        <w:rPr>
          <w:rFonts w:ascii="Bookman Old Style" w:hAnsi="Bookman Old Style"/>
          <w:i/>
          <w:iCs/>
          <w:sz w:val="26"/>
          <w:szCs w:val="26"/>
          <w:lang w:val="en-US"/>
        </w:rPr>
        <w:t>burden</w:t>
      </w:r>
      <w:r w:rsidRPr="009E2DD8">
        <w:rPr>
          <w:rFonts w:ascii="Bookman Old Style" w:hAnsi="Bookman Old Style"/>
          <w:i/>
          <w:iCs/>
          <w:sz w:val="26"/>
          <w:szCs w:val="26"/>
          <w:lang w:val="el-GR"/>
        </w:rPr>
        <w:t xml:space="preserve">) μεταφέρεται στους ώμους του </w:t>
      </w:r>
      <w:proofErr w:type="spellStart"/>
      <w:r w:rsidRPr="009E2DD8">
        <w:rPr>
          <w:rFonts w:ascii="Bookman Old Style" w:hAnsi="Bookman Old Style"/>
          <w:i/>
          <w:iCs/>
          <w:sz w:val="26"/>
          <w:szCs w:val="26"/>
          <w:lang w:val="el-GR"/>
        </w:rPr>
        <w:t>καθ’ου</w:t>
      </w:r>
      <w:proofErr w:type="spellEnd"/>
      <w:r w:rsidRPr="009E2DD8">
        <w:rPr>
          <w:rFonts w:ascii="Bookman Old Style" w:hAnsi="Bookman Old Style"/>
          <w:i/>
          <w:iCs/>
          <w:sz w:val="26"/>
          <w:szCs w:val="26"/>
          <w:lang w:val="el-GR"/>
        </w:rPr>
        <w:t xml:space="preserve"> η αίτηση που καλείται να δικαιολογήσει την κράτηση.»</w:t>
      </w:r>
    </w:p>
    <w:p w14:paraId="64EA31BB" w14:textId="77777777" w:rsidR="007609F3" w:rsidRDefault="007609F3" w:rsidP="007609F3">
      <w:pPr>
        <w:spacing w:line="276" w:lineRule="auto"/>
        <w:ind w:left="426" w:right="390"/>
        <w:jc w:val="both"/>
        <w:rPr>
          <w:rFonts w:ascii="Bookman Old Style" w:hAnsi="Bookman Old Style"/>
          <w:sz w:val="26"/>
          <w:szCs w:val="26"/>
          <w:lang w:val="el-GR"/>
        </w:rPr>
      </w:pPr>
    </w:p>
    <w:p w14:paraId="3F63C8FA" w14:textId="77777777" w:rsidR="007609F3" w:rsidRDefault="007609F3" w:rsidP="007609F3">
      <w:pPr>
        <w:spacing w:line="276" w:lineRule="auto"/>
        <w:ind w:left="426" w:right="390"/>
        <w:jc w:val="both"/>
        <w:rPr>
          <w:rFonts w:ascii="Bookman Old Style" w:hAnsi="Bookman Old Style"/>
          <w:sz w:val="26"/>
          <w:szCs w:val="26"/>
          <w:lang w:val="el-GR"/>
        </w:rPr>
      </w:pPr>
    </w:p>
    <w:p w14:paraId="03FA4C9C" w14:textId="58606B07" w:rsidR="001C6A37" w:rsidRDefault="001C6A37" w:rsidP="005614AF">
      <w:pPr>
        <w:spacing w:line="480" w:lineRule="auto"/>
        <w:jc w:val="both"/>
        <w:rPr>
          <w:rFonts w:ascii="Bookman Old Style" w:hAnsi="Bookman Old Style"/>
          <w:sz w:val="28"/>
          <w:szCs w:val="28"/>
          <w:lang w:val="el-GR"/>
        </w:rPr>
      </w:pPr>
      <w:r w:rsidRPr="001C6A37">
        <w:rPr>
          <w:rFonts w:ascii="Bookman Old Style" w:hAnsi="Bookman Old Style"/>
          <w:sz w:val="28"/>
          <w:szCs w:val="28"/>
          <w:lang w:val="el-GR"/>
        </w:rPr>
        <w:lastRenderedPageBreak/>
        <w:t>Έχοντας εξετάσει τις πιο πάνω εισηγήσεις</w:t>
      </w:r>
      <w:r w:rsidR="0095110A">
        <w:rPr>
          <w:rFonts w:ascii="Bookman Old Style" w:hAnsi="Bookman Old Style"/>
          <w:sz w:val="28"/>
          <w:szCs w:val="28"/>
          <w:lang w:val="el-GR"/>
        </w:rPr>
        <w:t>,</w:t>
      </w:r>
      <w:r w:rsidRPr="001C6A37">
        <w:rPr>
          <w:rFonts w:ascii="Bookman Old Style" w:hAnsi="Bookman Old Style"/>
          <w:sz w:val="28"/>
          <w:szCs w:val="28"/>
          <w:lang w:val="el-GR"/>
        </w:rPr>
        <w:t xml:space="preserve"> θα πρέπει να </w:t>
      </w:r>
      <w:proofErr w:type="spellStart"/>
      <w:r w:rsidRPr="001C6A37">
        <w:rPr>
          <w:rFonts w:ascii="Bookman Old Style" w:hAnsi="Bookman Old Style"/>
          <w:sz w:val="28"/>
          <w:szCs w:val="28"/>
          <w:lang w:val="el-GR"/>
        </w:rPr>
        <w:t>υπομνηστεί</w:t>
      </w:r>
      <w:proofErr w:type="spellEnd"/>
      <w:r w:rsidRPr="001C6A37">
        <w:rPr>
          <w:rFonts w:ascii="Bookman Old Style" w:hAnsi="Bookman Old Style"/>
          <w:sz w:val="28"/>
          <w:szCs w:val="28"/>
          <w:lang w:val="el-GR"/>
        </w:rPr>
        <w:t xml:space="preserve"> πως η δικαστική κρίση για το εύλογο ή μη του χρόνου κράτησης είναι ζήτημα πραγματικό και συνυφασμένο με τους λόγους που τυχόν δημιουργούν καθυστέρηση και εξαρτάται από τα ιδιαίτερα περιστατικά της υπόθεσης, όπως οι ανωτέρω αποφάσεις εξηγούν.</w:t>
      </w:r>
    </w:p>
    <w:p w14:paraId="63A18A34" w14:textId="77777777" w:rsidR="001C6A37" w:rsidRPr="001C6A37" w:rsidRDefault="001C6A37" w:rsidP="005614AF">
      <w:pPr>
        <w:spacing w:line="480" w:lineRule="auto"/>
        <w:jc w:val="both"/>
        <w:rPr>
          <w:rFonts w:ascii="Bookman Old Style" w:hAnsi="Bookman Old Style"/>
          <w:sz w:val="28"/>
          <w:szCs w:val="28"/>
          <w:lang w:val="el-GR"/>
        </w:rPr>
      </w:pPr>
    </w:p>
    <w:p w14:paraId="751C979A" w14:textId="2B82BC03" w:rsidR="005614AF" w:rsidRDefault="001C6A37" w:rsidP="005614AF">
      <w:pPr>
        <w:spacing w:line="480" w:lineRule="auto"/>
        <w:jc w:val="both"/>
        <w:rPr>
          <w:rFonts w:ascii="Bookman Old Style" w:hAnsi="Bookman Old Style"/>
          <w:sz w:val="28"/>
          <w:szCs w:val="28"/>
          <w:lang w:val="el-GR"/>
        </w:rPr>
      </w:pPr>
      <w:r w:rsidRPr="001C6A37">
        <w:rPr>
          <w:rFonts w:ascii="Bookman Old Style" w:hAnsi="Bookman Old Style"/>
          <w:sz w:val="28"/>
          <w:szCs w:val="28"/>
          <w:lang w:val="el-GR"/>
        </w:rPr>
        <w:t xml:space="preserve">Έχοντας κατά νου τα γεγονότα, όπως έχουν εκτεθεί σε έκταση ανωτέρω, και σημειώνοντας ότι παραμένει χωρίς αμφισβήτηση ότι η διοίκηση προχώρησε σε </w:t>
      </w:r>
      <w:r w:rsidR="00477A5B">
        <w:rPr>
          <w:rFonts w:ascii="Bookman Old Style" w:hAnsi="Bookman Old Style"/>
          <w:sz w:val="28"/>
          <w:szCs w:val="28"/>
          <w:lang w:val="el-GR"/>
        </w:rPr>
        <w:t>ενέργειες</w:t>
      </w:r>
      <w:r w:rsidRPr="001C6A37">
        <w:rPr>
          <w:rFonts w:ascii="Bookman Old Style" w:hAnsi="Bookman Old Style"/>
          <w:sz w:val="28"/>
          <w:szCs w:val="28"/>
          <w:lang w:val="el-GR"/>
        </w:rPr>
        <w:t xml:space="preserve"> προς το σκοπό απέλασης του </w:t>
      </w:r>
      <w:proofErr w:type="spellStart"/>
      <w:r w:rsidRPr="001C6A37">
        <w:rPr>
          <w:rFonts w:ascii="Bookman Old Style" w:hAnsi="Bookman Old Style"/>
          <w:sz w:val="28"/>
          <w:szCs w:val="28"/>
          <w:lang w:val="el-GR"/>
        </w:rPr>
        <w:t>Αιτητή</w:t>
      </w:r>
      <w:proofErr w:type="spellEnd"/>
      <w:r w:rsidRPr="001C6A37">
        <w:rPr>
          <w:rFonts w:ascii="Bookman Old Style" w:hAnsi="Bookman Old Style"/>
          <w:sz w:val="28"/>
          <w:szCs w:val="28"/>
          <w:lang w:val="el-GR"/>
        </w:rPr>
        <w:t>, είναι η κρίση του Δικαστηρίου ότι η υπό εκδίκαση Αίτηση δεν έχει περιθώρια επιτυχίας.</w:t>
      </w:r>
    </w:p>
    <w:p w14:paraId="3459A3DC" w14:textId="6D2665CF" w:rsidR="001C6A37" w:rsidRPr="001C6A37" w:rsidRDefault="001C6A37" w:rsidP="005614AF">
      <w:pPr>
        <w:spacing w:line="480" w:lineRule="auto"/>
        <w:jc w:val="both"/>
        <w:rPr>
          <w:rFonts w:ascii="Bookman Old Style" w:hAnsi="Bookman Old Style"/>
          <w:sz w:val="28"/>
          <w:szCs w:val="28"/>
          <w:lang w:val="el-GR"/>
        </w:rPr>
      </w:pPr>
      <w:r w:rsidRPr="001C6A37">
        <w:rPr>
          <w:rFonts w:ascii="Bookman Old Style" w:hAnsi="Bookman Old Style"/>
          <w:sz w:val="28"/>
          <w:szCs w:val="28"/>
          <w:lang w:val="el-GR"/>
        </w:rPr>
        <w:t xml:space="preserve"> </w:t>
      </w:r>
    </w:p>
    <w:p w14:paraId="4AC3E25D" w14:textId="6D12D43A" w:rsidR="00DC1CD2" w:rsidRPr="00F95D6B" w:rsidRDefault="005614AF" w:rsidP="005614AF">
      <w:pPr>
        <w:spacing w:line="480" w:lineRule="auto"/>
        <w:ind w:right="-35"/>
        <w:jc w:val="both"/>
        <w:rPr>
          <w:rFonts w:ascii="Bookman Old Style" w:hAnsi="Bookman Old Style" w:cs="Arial"/>
          <w:sz w:val="28"/>
          <w:szCs w:val="28"/>
          <w:lang w:val="el-GR"/>
        </w:rPr>
      </w:pPr>
      <w:r w:rsidRPr="00F95D6B">
        <w:rPr>
          <w:rFonts w:ascii="Bookman Old Style" w:hAnsi="Bookman Old Style" w:cs="Arial"/>
          <w:sz w:val="28"/>
          <w:szCs w:val="28"/>
          <w:lang w:val="el-GR"/>
        </w:rPr>
        <w:t xml:space="preserve">Συγκεκριμένα μεσολάβησαν συνεχείς επαναξιολογήσεις κατά τις ημερομηνίες 10/5/2023, 3/7/2023, 5/9/2023 και 6/11/2023 στις οποίες </w:t>
      </w:r>
      <w:proofErr w:type="spellStart"/>
      <w:r w:rsidRPr="00F95D6B">
        <w:rPr>
          <w:rFonts w:ascii="Bookman Old Style" w:hAnsi="Bookman Old Style" w:cs="Arial"/>
          <w:sz w:val="28"/>
          <w:szCs w:val="28"/>
          <w:lang w:val="el-GR"/>
        </w:rPr>
        <w:t>διαπιστώνετο</w:t>
      </w:r>
      <w:proofErr w:type="spellEnd"/>
      <w:r w:rsidRPr="00F95D6B">
        <w:rPr>
          <w:rFonts w:ascii="Bookman Old Style" w:hAnsi="Bookman Old Style" w:cs="Arial"/>
          <w:sz w:val="28"/>
          <w:szCs w:val="28"/>
          <w:lang w:val="el-GR"/>
        </w:rPr>
        <w:t xml:space="preserve"> η μη διαφοροποίηση των δεδομένων καθόσον αφορά τον κίνδυνο διαφυγής όπως </w:t>
      </w:r>
      <w:proofErr w:type="spellStart"/>
      <w:r w:rsidRPr="00F95D6B">
        <w:rPr>
          <w:rFonts w:ascii="Bookman Old Style" w:hAnsi="Bookman Old Style" w:cs="Arial"/>
          <w:sz w:val="28"/>
          <w:szCs w:val="28"/>
          <w:lang w:val="el-GR"/>
        </w:rPr>
        <w:t>προέκυπτε</w:t>
      </w:r>
      <w:proofErr w:type="spellEnd"/>
      <w:r w:rsidRPr="00F95D6B">
        <w:rPr>
          <w:rFonts w:ascii="Bookman Old Style" w:hAnsi="Bookman Old Style" w:cs="Arial"/>
          <w:sz w:val="28"/>
          <w:szCs w:val="28"/>
          <w:lang w:val="el-GR"/>
        </w:rPr>
        <w:t xml:space="preserve"> από τη μη συμμόρφωση</w:t>
      </w:r>
      <w:r w:rsidR="006C6BFD" w:rsidRPr="00F95D6B">
        <w:rPr>
          <w:rFonts w:ascii="Bookman Old Style" w:hAnsi="Bookman Old Style" w:cs="Arial"/>
          <w:sz w:val="28"/>
          <w:szCs w:val="28"/>
          <w:lang w:val="el-GR"/>
        </w:rPr>
        <w:t xml:space="preserve"> του </w:t>
      </w:r>
      <w:proofErr w:type="spellStart"/>
      <w:r w:rsidR="006C6BFD" w:rsidRPr="00F95D6B">
        <w:rPr>
          <w:rFonts w:ascii="Bookman Old Style" w:hAnsi="Bookman Old Style" w:cs="Arial"/>
          <w:sz w:val="28"/>
          <w:szCs w:val="28"/>
          <w:lang w:val="el-GR"/>
        </w:rPr>
        <w:t>Αιτητή</w:t>
      </w:r>
      <w:proofErr w:type="spellEnd"/>
      <w:r w:rsidRPr="00F95D6B">
        <w:rPr>
          <w:rFonts w:ascii="Bookman Old Style" w:hAnsi="Bookman Old Style" w:cs="Arial"/>
          <w:sz w:val="28"/>
          <w:szCs w:val="28"/>
          <w:lang w:val="el-GR"/>
        </w:rPr>
        <w:t xml:space="preserve"> με απόφαση επιστροφής και τη δήλωση μη συμμόρφωσης με απόφαση επιστροφής</w:t>
      </w:r>
      <w:r w:rsidR="0095110A">
        <w:rPr>
          <w:rFonts w:ascii="Bookman Old Style" w:hAnsi="Bookman Old Style" w:cs="Arial"/>
          <w:sz w:val="28"/>
          <w:szCs w:val="28"/>
          <w:lang w:val="el-GR"/>
        </w:rPr>
        <w:t>,</w:t>
      </w:r>
      <w:r w:rsidRPr="00F95D6B">
        <w:rPr>
          <w:rFonts w:ascii="Bookman Old Style" w:hAnsi="Bookman Old Style" w:cs="Arial"/>
          <w:sz w:val="28"/>
          <w:szCs w:val="28"/>
          <w:lang w:val="el-GR"/>
        </w:rPr>
        <w:t xml:space="preserve"> καθώς και από το μεταναστευτικό του ιστορικό</w:t>
      </w:r>
      <w:r w:rsidR="006C6BFD" w:rsidRPr="00F95D6B">
        <w:rPr>
          <w:rStyle w:val="FootnoteReference"/>
          <w:rFonts w:ascii="Bookman Old Style" w:hAnsi="Bookman Old Style" w:cs="Arial"/>
          <w:sz w:val="28"/>
          <w:szCs w:val="28"/>
          <w:lang w:val="el-GR"/>
        </w:rPr>
        <w:footnoteReference w:id="3"/>
      </w:r>
      <w:r w:rsidR="006C6BFD" w:rsidRPr="00F95D6B">
        <w:rPr>
          <w:rFonts w:ascii="Bookman Old Style" w:hAnsi="Bookman Old Style" w:cs="Arial"/>
          <w:sz w:val="28"/>
          <w:szCs w:val="28"/>
          <w:lang w:val="el-GR"/>
        </w:rPr>
        <w:t>.</w:t>
      </w:r>
      <w:r w:rsidR="00477A5B" w:rsidRPr="00F95D6B">
        <w:rPr>
          <w:rFonts w:ascii="Bookman Old Style" w:hAnsi="Bookman Old Style" w:cs="Arial"/>
          <w:sz w:val="28"/>
          <w:szCs w:val="28"/>
          <w:lang w:val="el-GR"/>
        </w:rPr>
        <w:t xml:space="preserve"> Σε αυτές </w:t>
      </w:r>
      <w:r w:rsidR="0095110A">
        <w:rPr>
          <w:rFonts w:ascii="Bookman Old Style" w:hAnsi="Bookman Old Style" w:cs="Arial"/>
          <w:sz w:val="28"/>
          <w:szCs w:val="28"/>
          <w:lang w:val="el-GR"/>
        </w:rPr>
        <w:t xml:space="preserve">               </w:t>
      </w:r>
      <w:r w:rsidR="00477A5B" w:rsidRPr="00F95D6B">
        <w:rPr>
          <w:rFonts w:ascii="Bookman Old Style" w:hAnsi="Bookman Old Style" w:cs="Arial"/>
          <w:sz w:val="28"/>
          <w:szCs w:val="28"/>
          <w:lang w:val="el-GR"/>
        </w:rPr>
        <w:t xml:space="preserve">τις επαναξιολογήσεις περιλαμβάνονταν και οι προσπάθειες για επαναπατρισμό του </w:t>
      </w:r>
      <w:proofErr w:type="spellStart"/>
      <w:r w:rsidR="00477A5B" w:rsidRPr="00F95D6B">
        <w:rPr>
          <w:rFonts w:ascii="Bookman Old Style" w:hAnsi="Bookman Old Style" w:cs="Arial"/>
          <w:sz w:val="28"/>
          <w:szCs w:val="28"/>
          <w:lang w:val="el-GR"/>
        </w:rPr>
        <w:t>Αιτητή</w:t>
      </w:r>
      <w:proofErr w:type="spellEnd"/>
      <w:r w:rsidR="0095110A">
        <w:rPr>
          <w:rFonts w:ascii="Bookman Old Style" w:hAnsi="Bookman Old Style" w:cs="Arial"/>
          <w:sz w:val="28"/>
          <w:szCs w:val="28"/>
          <w:lang w:val="el-GR"/>
        </w:rPr>
        <w:t>,</w:t>
      </w:r>
      <w:r w:rsidR="00477A5B" w:rsidRPr="00F95D6B">
        <w:rPr>
          <w:rFonts w:ascii="Bookman Old Style" w:hAnsi="Bookman Old Style" w:cs="Arial"/>
          <w:sz w:val="28"/>
          <w:szCs w:val="28"/>
          <w:lang w:val="el-GR"/>
        </w:rPr>
        <w:t xml:space="preserve"> καθώς και η άρνηση από μέρους του να αναχωρήσει</w:t>
      </w:r>
      <w:r w:rsidR="00F95D6B" w:rsidRPr="00F95D6B">
        <w:rPr>
          <w:rFonts w:ascii="Bookman Old Style" w:hAnsi="Bookman Old Style" w:cs="Arial"/>
          <w:sz w:val="28"/>
          <w:szCs w:val="28"/>
          <w:lang w:val="el-GR"/>
        </w:rPr>
        <w:t xml:space="preserve"> </w:t>
      </w:r>
      <w:r w:rsidR="00477A5B" w:rsidRPr="00F95D6B">
        <w:rPr>
          <w:rFonts w:ascii="Bookman Old Style" w:hAnsi="Bookman Old Style" w:cs="Arial"/>
          <w:sz w:val="28"/>
          <w:szCs w:val="28"/>
          <w:lang w:val="el-GR"/>
        </w:rPr>
        <w:t xml:space="preserve">με αποτέλεσμα την </w:t>
      </w:r>
      <w:r w:rsidR="00F95D6B" w:rsidRPr="00F95D6B">
        <w:rPr>
          <w:rFonts w:ascii="Bookman Old Style" w:hAnsi="Bookman Old Style" w:cs="Arial"/>
          <w:sz w:val="28"/>
          <w:szCs w:val="28"/>
          <w:lang w:val="el-GR"/>
        </w:rPr>
        <w:t>αναστολή της απέλασης του.</w:t>
      </w:r>
    </w:p>
    <w:p w14:paraId="57CFE8F1" w14:textId="77777777" w:rsidR="00DC1CD2" w:rsidRDefault="00DC1CD2" w:rsidP="005614AF">
      <w:pPr>
        <w:spacing w:line="480" w:lineRule="auto"/>
        <w:ind w:right="-35"/>
        <w:jc w:val="both"/>
        <w:rPr>
          <w:rFonts w:ascii="Bookman Old Style" w:hAnsi="Bookman Old Style"/>
          <w:sz w:val="28"/>
          <w:szCs w:val="28"/>
          <w:lang w:val="el-GR"/>
        </w:rPr>
      </w:pPr>
    </w:p>
    <w:p w14:paraId="0C99AD73" w14:textId="49AD0448" w:rsidR="001C6A37" w:rsidRDefault="001C6A37" w:rsidP="005614AF">
      <w:pPr>
        <w:spacing w:line="480" w:lineRule="auto"/>
        <w:jc w:val="both"/>
        <w:rPr>
          <w:rFonts w:ascii="Bookman Old Style" w:hAnsi="Bookman Old Style"/>
          <w:sz w:val="28"/>
          <w:szCs w:val="28"/>
          <w:lang w:val="el-GR"/>
        </w:rPr>
      </w:pPr>
      <w:r w:rsidRPr="001C6A37">
        <w:rPr>
          <w:rFonts w:ascii="Bookman Old Style" w:hAnsi="Bookman Old Style"/>
          <w:sz w:val="28"/>
          <w:szCs w:val="28"/>
          <w:lang w:val="el-GR"/>
        </w:rPr>
        <w:t xml:space="preserve">Κρίνεται, υπό το φως των πιο πάνω, ότι η διοίκηση σε καμία περίπτωση δεν καθυστέρησε ή εγκατέλειψε το σκοπό κράτησης του </w:t>
      </w:r>
      <w:proofErr w:type="spellStart"/>
      <w:r w:rsidRPr="001C6A37">
        <w:rPr>
          <w:rFonts w:ascii="Bookman Old Style" w:hAnsi="Bookman Old Style"/>
          <w:sz w:val="28"/>
          <w:szCs w:val="28"/>
          <w:lang w:val="el-GR"/>
        </w:rPr>
        <w:t>Αιτητή</w:t>
      </w:r>
      <w:proofErr w:type="spellEnd"/>
      <w:r w:rsidRPr="001C6A37">
        <w:rPr>
          <w:rFonts w:ascii="Bookman Old Style" w:hAnsi="Bookman Old Style"/>
          <w:sz w:val="28"/>
          <w:szCs w:val="28"/>
          <w:lang w:val="el-GR"/>
        </w:rPr>
        <w:t xml:space="preserve"> ή παρέλειψε να ενεργήσει με τη δέουσα επιμέλεια. </w:t>
      </w:r>
      <w:r w:rsidR="006C2374">
        <w:rPr>
          <w:rFonts w:ascii="Bookman Old Style" w:hAnsi="Bookman Old Style"/>
          <w:sz w:val="28"/>
          <w:szCs w:val="28"/>
          <w:lang w:val="el-GR"/>
        </w:rPr>
        <w:t xml:space="preserve">Η συμπεριφορά του </w:t>
      </w:r>
      <w:proofErr w:type="spellStart"/>
      <w:r w:rsidR="006C2374">
        <w:rPr>
          <w:rFonts w:ascii="Bookman Old Style" w:hAnsi="Bookman Old Style"/>
          <w:sz w:val="28"/>
          <w:szCs w:val="28"/>
          <w:lang w:val="el-GR"/>
        </w:rPr>
        <w:t>Αιτητή</w:t>
      </w:r>
      <w:proofErr w:type="spellEnd"/>
      <w:r w:rsidR="006C2374">
        <w:rPr>
          <w:rFonts w:ascii="Bookman Old Style" w:hAnsi="Bookman Old Style"/>
          <w:sz w:val="28"/>
          <w:szCs w:val="28"/>
          <w:lang w:val="el-GR"/>
        </w:rPr>
        <w:t>, ήτοι η άρνηση του για την απέλαση του στις 3/5/2023 και η ανάγκη εξέτασης του παραπόνου που υπέβαλε στις 8/6/2023 εναντίον της Αστυνομίας από την Ανεξάρτητη Αρχή Διερεύνησης Ισχυρισμών και Παραπόνων κατά της Αστυνομίας</w:t>
      </w:r>
      <w:r w:rsidR="0095110A">
        <w:rPr>
          <w:rFonts w:ascii="Bookman Old Style" w:hAnsi="Bookman Old Style"/>
          <w:sz w:val="28"/>
          <w:szCs w:val="28"/>
          <w:lang w:val="el-GR"/>
        </w:rPr>
        <w:t>,</w:t>
      </w:r>
      <w:r w:rsidR="006C2374">
        <w:rPr>
          <w:rFonts w:ascii="Bookman Old Style" w:hAnsi="Bookman Old Style"/>
          <w:sz w:val="28"/>
          <w:szCs w:val="28"/>
          <w:lang w:val="el-GR"/>
        </w:rPr>
        <w:t xml:space="preserve"> αναπόφευκτα οδήγησαν στην παράταση του χρόνου κράτησης του. </w:t>
      </w:r>
      <w:r w:rsidRPr="001C6A37">
        <w:rPr>
          <w:rFonts w:ascii="Bookman Old Style" w:hAnsi="Bookman Old Style"/>
          <w:sz w:val="28"/>
          <w:szCs w:val="28"/>
          <w:lang w:val="el-GR"/>
        </w:rPr>
        <w:t xml:space="preserve">Συνεπώς, το Δικαστήριο συμφωνεί με την πλευρά των </w:t>
      </w:r>
      <w:proofErr w:type="spellStart"/>
      <w:r w:rsidRPr="001C6A37">
        <w:rPr>
          <w:rFonts w:ascii="Bookman Old Style" w:hAnsi="Bookman Old Style"/>
          <w:sz w:val="28"/>
          <w:szCs w:val="28"/>
          <w:lang w:val="el-GR"/>
        </w:rPr>
        <w:t>Καθ’ων</w:t>
      </w:r>
      <w:proofErr w:type="spellEnd"/>
      <w:r w:rsidRPr="001C6A37">
        <w:rPr>
          <w:rFonts w:ascii="Bookman Old Style" w:hAnsi="Bookman Old Style"/>
          <w:sz w:val="28"/>
          <w:szCs w:val="28"/>
          <w:lang w:val="el-GR"/>
        </w:rPr>
        <w:t xml:space="preserve"> η Αίτηση ότι δεν εντοπίζεται αδικαιολόγητη καθυστέρηση ή υπαιτιότητα εκ μέρους τους, τέτοια που να δικαιολογεί την έκδοση του αιτούμενου Προνομιακού Εντάλματος. Η παράταση της κράτησης πέραν των έξι μηνών, στη βάση του προαναφερθέντος </w:t>
      </w:r>
      <w:r w:rsidRPr="001C6A37">
        <w:rPr>
          <w:rFonts w:ascii="Bookman Old Style" w:hAnsi="Bookman Old Style"/>
          <w:b/>
          <w:bCs/>
          <w:i/>
          <w:iCs/>
          <w:sz w:val="28"/>
          <w:szCs w:val="28"/>
          <w:lang w:val="el-GR"/>
        </w:rPr>
        <w:t xml:space="preserve">Άρθρου 18ΠΣΤ(8) </w:t>
      </w:r>
      <w:r w:rsidRPr="001C6A37">
        <w:rPr>
          <w:rFonts w:ascii="Bookman Old Style" w:hAnsi="Bookman Old Style"/>
          <w:sz w:val="28"/>
          <w:szCs w:val="28"/>
          <w:lang w:val="el-GR"/>
        </w:rPr>
        <w:t xml:space="preserve">του </w:t>
      </w:r>
      <w:r w:rsidRPr="001C6A37">
        <w:rPr>
          <w:rFonts w:ascii="Bookman Old Style" w:hAnsi="Bookman Old Style"/>
          <w:b/>
          <w:bCs/>
          <w:i/>
          <w:iCs/>
          <w:sz w:val="28"/>
          <w:szCs w:val="28"/>
          <w:lang w:val="el-GR"/>
        </w:rPr>
        <w:t>Κεφ. 105</w:t>
      </w:r>
      <w:r w:rsidRPr="001C6A37">
        <w:rPr>
          <w:rFonts w:ascii="Bookman Old Style" w:hAnsi="Bookman Old Style"/>
          <w:sz w:val="28"/>
          <w:szCs w:val="28"/>
          <w:lang w:val="el-GR"/>
        </w:rPr>
        <w:t>, ήταν, υπό τις συνθήκες, απόλυτα δικαιολογημένη.</w:t>
      </w:r>
    </w:p>
    <w:p w14:paraId="00F66034" w14:textId="77777777" w:rsidR="006C6BFD" w:rsidRDefault="006C6BFD" w:rsidP="005614AF">
      <w:pPr>
        <w:spacing w:line="480" w:lineRule="auto"/>
        <w:jc w:val="both"/>
        <w:rPr>
          <w:rFonts w:ascii="Bookman Old Style" w:hAnsi="Bookman Old Style"/>
          <w:sz w:val="28"/>
          <w:szCs w:val="28"/>
          <w:lang w:val="el-GR"/>
        </w:rPr>
      </w:pPr>
    </w:p>
    <w:p w14:paraId="548CE35E" w14:textId="654F01A8" w:rsidR="001C6A37" w:rsidRDefault="001C6A37" w:rsidP="005614AF">
      <w:pPr>
        <w:spacing w:line="480" w:lineRule="auto"/>
        <w:jc w:val="both"/>
        <w:rPr>
          <w:rFonts w:ascii="Bookman Old Style" w:hAnsi="Bookman Old Style"/>
          <w:sz w:val="28"/>
          <w:szCs w:val="28"/>
          <w:lang w:val="el-GR"/>
        </w:rPr>
      </w:pPr>
      <w:r w:rsidRPr="001C6A37">
        <w:rPr>
          <w:rFonts w:ascii="Bookman Old Style" w:hAnsi="Bookman Old Style"/>
          <w:sz w:val="28"/>
          <w:szCs w:val="28"/>
          <w:lang w:val="el-GR"/>
        </w:rPr>
        <w:t xml:space="preserve">Εντέλει, ο </w:t>
      </w:r>
      <w:proofErr w:type="spellStart"/>
      <w:r w:rsidRPr="001C6A37">
        <w:rPr>
          <w:rFonts w:ascii="Bookman Old Style" w:hAnsi="Bookman Old Style"/>
          <w:sz w:val="28"/>
          <w:szCs w:val="28"/>
          <w:lang w:val="el-GR"/>
        </w:rPr>
        <w:t>Αιτητής</w:t>
      </w:r>
      <w:proofErr w:type="spellEnd"/>
      <w:r w:rsidRPr="001C6A37">
        <w:rPr>
          <w:rFonts w:ascii="Bookman Old Style" w:hAnsi="Bookman Old Style"/>
          <w:sz w:val="28"/>
          <w:szCs w:val="28"/>
          <w:lang w:val="el-GR"/>
        </w:rPr>
        <w:t xml:space="preserve"> δεν απέσεισε το βάρος που έφερε προς απόδειξη ότι η διάρκεια της κράτησης δεν ήταν εύλογη</w:t>
      </w:r>
      <w:r w:rsidR="007609F3">
        <w:rPr>
          <w:rFonts w:ascii="Bookman Old Style" w:hAnsi="Bookman Old Style"/>
          <w:sz w:val="28"/>
          <w:szCs w:val="28"/>
          <w:lang w:val="el-GR"/>
        </w:rPr>
        <w:t xml:space="preserve"> </w:t>
      </w:r>
      <w:r w:rsidRPr="001C6A37">
        <w:rPr>
          <w:rFonts w:ascii="Bookman Old Style" w:hAnsi="Bookman Old Style"/>
          <w:sz w:val="28"/>
          <w:szCs w:val="28"/>
          <w:lang w:val="el-GR"/>
        </w:rPr>
        <w:t>και ότι, ως εκ της διάρκειάς της, κατέστη παράνομη.</w:t>
      </w:r>
    </w:p>
    <w:p w14:paraId="282C9443" w14:textId="77777777" w:rsidR="00F621F8" w:rsidRDefault="00F621F8" w:rsidP="005614AF">
      <w:pPr>
        <w:spacing w:line="480" w:lineRule="auto"/>
        <w:jc w:val="both"/>
        <w:rPr>
          <w:rFonts w:ascii="Bookman Old Style" w:hAnsi="Bookman Old Style"/>
          <w:sz w:val="28"/>
          <w:szCs w:val="28"/>
          <w:lang w:val="el-GR"/>
        </w:rPr>
      </w:pPr>
    </w:p>
    <w:p w14:paraId="3572E18F" w14:textId="76C89A9E" w:rsidR="00F621F8" w:rsidRDefault="00F621F8" w:rsidP="005614AF">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Καταληκτικά βρίσκω ότι η νομίμως </w:t>
      </w:r>
      <w:proofErr w:type="spellStart"/>
      <w:r>
        <w:rPr>
          <w:rFonts w:ascii="Bookman Old Style" w:hAnsi="Bookman Old Style"/>
          <w:sz w:val="28"/>
          <w:szCs w:val="28"/>
          <w:lang w:val="el-GR"/>
        </w:rPr>
        <w:t>αρξαμένη</w:t>
      </w:r>
      <w:proofErr w:type="spellEnd"/>
      <w:r>
        <w:rPr>
          <w:rFonts w:ascii="Bookman Old Style" w:hAnsi="Bookman Old Style"/>
          <w:sz w:val="28"/>
          <w:szCs w:val="28"/>
          <w:lang w:val="el-GR"/>
        </w:rPr>
        <w:t xml:space="preserve"> κράτηση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συνεχίζει να είναι νόμιμη για σκοπούς απομάκρυνσης του από την Κυπριακή Δημοκρατία. Επομένως, οι αιτιάσεις και τα παράπονα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είναι ανεδαφικά.</w:t>
      </w:r>
    </w:p>
    <w:p w14:paraId="2B69135A" w14:textId="77777777" w:rsidR="00F621F8" w:rsidRDefault="00F621F8" w:rsidP="005614AF">
      <w:pPr>
        <w:spacing w:line="480" w:lineRule="auto"/>
        <w:jc w:val="both"/>
        <w:rPr>
          <w:rFonts w:ascii="Bookman Old Style" w:hAnsi="Bookman Old Style"/>
          <w:sz w:val="28"/>
          <w:szCs w:val="28"/>
          <w:lang w:val="el-GR"/>
        </w:rPr>
      </w:pPr>
    </w:p>
    <w:p w14:paraId="393A2C19" w14:textId="4A07BDDF" w:rsidR="001C6A37" w:rsidRPr="001C6A37" w:rsidRDefault="001C6A37" w:rsidP="001C6A37">
      <w:pPr>
        <w:spacing w:line="480" w:lineRule="auto"/>
        <w:jc w:val="both"/>
        <w:rPr>
          <w:rFonts w:ascii="Bookman Old Style" w:hAnsi="Bookman Old Style"/>
          <w:sz w:val="28"/>
          <w:szCs w:val="28"/>
          <w:lang w:val="el-GR"/>
        </w:rPr>
      </w:pPr>
      <w:r w:rsidRPr="001C6A37">
        <w:rPr>
          <w:rFonts w:ascii="Bookman Old Style" w:hAnsi="Bookman Old Style"/>
          <w:sz w:val="28"/>
          <w:szCs w:val="28"/>
          <w:lang w:val="el-GR"/>
        </w:rPr>
        <w:t xml:space="preserve">Στη βάση των πιο πάνω, </w:t>
      </w:r>
      <w:r w:rsidRPr="001C6A37">
        <w:rPr>
          <w:rFonts w:ascii="Bookman Old Style" w:hAnsi="Bookman Old Style"/>
          <w:b/>
          <w:bCs/>
          <w:sz w:val="28"/>
          <w:szCs w:val="28"/>
          <w:lang w:val="el-GR"/>
        </w:rPr>
        <w:t>η Αίτηση απορρίπτεται, χωρίς έξοδα.</w:t>
      </w:r>
    </w:p>
    <w:p w14:paraId="07BA8198" w14:textId="77777777" w:rsidR="001C6A37" w:rsidRPr="001C6A37" w:rsidRDefault="001C6A37" w:rsidP="001C6A37">
      <w:pPr>
        <w:jc w:val="both"/>
        <w:rPr>
          <w:lang w:val="el-GR"/>
        </w:rPr>
      </w:pPr>
      <w:r>
        <w:t> </w:t>
      </w:r>
    </w:p>
    <w:p w14:paraId="55B0D29D" w14:textId="77777777" w:rsidR="001C6A37" w:rsidRDefault="001C6A37" w:rsidP="00384DF3">
      <w:pPr>
        <w:spacing w:line="480" w:lineRule="auto"/>
        <w:ind w:right="-35"/>
        <w:jc w:val="both"/>
        <w:rPr>
          <w:rFonts w:ascii="Bookman Old Style" w:hAnsi="Bookman Old Style"/>
          <w:sz w:val="28"/>
          <w:szCs w:val="28"/>
          <w:lang w:val="el-GR"/>
        </w:rPr>
      </w:pPr>
    </w:p>
    <w:p w14:paraId="477DDE50" w14:textId="77777777" w:rsidR="00515840" w:rsidRDefault="00515840" w:rsidP="00384DF3">
      <w:pPr>
        <w:spacing w:line="480" w:lineRule="auto"/>
        <w:ind w:right="-35"/>
        <w:jc w:val="both"/>
        <w:rPr>
          <w:rFonts w:ascii="Bookman Old Style" w:hAnsi="Bookman Old Style"/>
          <w:sz w:val="28"/>
          <w:szCs w:val="28"/>
          <w:lang w:val="el-GR"/>
        </w:rPr>
      </w:pPr>
    </w:p>
    <w:p w14:paraId="54CF0EC9" w14:textId="77777777" w:rsidR="00515840" w:rsidRDefault="00515840" w:rsidP="00384DF3">
      <w:pPr>
        <w:spacing w:line="480" w:lineRule="auto"/>
        <w:ind w:right="-35"/>
        <w:jc w:val="both"/>
        <w:rPr>
          <w:rFonts w:ascii="Bookman Old Style" w:hAnsi="Bookman Old Style"/>
          <w:sz w:val="28"/>
          <w:szCs w:val="28"/>
          <w:lang w:val="el-GR"/>
        </w:rPr>
      </w:pPr>
    </w:p>
    <w:p w14:paraId="0E3E95A8" w14:textId="77777777" w:rsidR="006C2374" w:rsidRDefault="006C2374" w:rsidP="00384DF3">
      <w:pPr>
        <w:spacing w:line="480" w:lineRule="auto"/>
        <w:ind w:right="-35"/>
        <w:jc w:val="both"/>
        <w:rPr>
          <w:rFonts w:ascii="Bookman Old Style" w:hAnsi="Bookman Old Style"/>
          <w:sz w:val="28"/>
          <w:szCs w:val="28"/>
          <w:lang w:val="el-GR"/>
        </w:rPr>
      </w:pPr>
    </w:p>
    <w:p w14:paraId="661E2BA1" w14:textId="77777777" w:rsidR="004C29CA" w:rsidRPr="007A0D8E" w:rsidRDefault="004C29CA" w:rsidP="0000790C">
      <w:pPr>
        <w:ind w:left="993" w:right="-35" w:hanging="426"/>
        <w:jc w:val="both"/>
        <w:rPr>
          <w:rFonts w:ascii="Bookman Old Style" w:hAnsi="Bookman Old Style" w:cs="Arial"/>
          <w:i/>
          <w:sz w:val="28"/>
          <w:szCs w:val="28"/>
          <w:lang w:val="el-GR"/>
        </w:rPr>
      </w:pPr>
    </w:p>
    <w:p w14:paraId="2E7CB5BA" w14:textId="673B93DA" w:rsidR="004C29CA" w:rsidRPr="007A0D8E" w:rsidRDefault="004C29CA" w:rsidP="0000790C">
      <w:pPr>
        <w:spacing w:line="480" w:lineRule="auto"/>
        <w:ind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5614AF">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w:t>
      </w:r>
    </w:p>
    <w:p w14:paraId="0F1CDD67" w14:textId="34496785" w:rsidR="004C29CA" w:rsidRPr="007A0D8E" w:rsidRDefault="004C29CA" w:rsidP="00DC1CD2">
      <w:pPr>
        <w:spacing w:line="480" w:lineRule="auto"/>
        <w:ind w:left="2880" w:right="-35" w:firstLine="720"/>
        <w:jc w:val="both"/>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 xml:space="preserve">       </w:t>
      </w:r>
      <w:r w:rsidR="005614AF">
        <w:rPr>
          <w:rFonts w:ascii="Bookman Old Style" w:hAnsi="Bookman Old Style" w:cs="Arial"/>
          <w:b/>
          <w:sz w:val="28"/>
          <w:szCs w:val="28"/>
          <w:lang w:val="el-GR"/>
        </w:rPr>
        <w:t xml:space="preserve">               </w:t>
      </w:r>
      <w:r w:rsidRPr="007A0D8E">
        <w:rPr>
          <w:rFonts w:ascii="Bookman Old Style" w:hAnsi="Bookman Old Style" w:cs="Arial"/>
          <w:b/>
          <w:sz w:val="28"/>
          <w:szCs w:val="28"/>
          <w:lang w:val="el-GR"/>
        </w:rPr>
        <w:t>Δ.</w:t>
      </w:r>
    </w:p>
    <w:sectPr w:rsidR="004C29CA" w:rsidRPr="007A0D8E" w:rsidSect="00B871B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4438" w14:textId="77777777" w:rsidR="00E52A58" w:rsidRDefault="00E52A58" w:rsidP="00B43113">
      <w:r>
        <w:separator/>
      </w:r>
    </w:p>
  </w:endnote>
  <w:endnote w:type="continuationSeparator" w:id="0">
    <w:p w14:paraId="332FDC79" w14:textId="77777777" w:rsidR="00E52A58" w:rsidRDefault="00E52A58"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AFA8" w14:textId="77777777" w:rsidR="00E52A58" w:rsidRDefault="00E52A58" w:rsidP="00B43113">
      <w:r>
        <w:separator/>
      </w:r>
    </w:p>
  </w:footnote>
  <w:footnote w:type="continuationSeparator" w:id="0">
    <w:p w14:paraId="0D1A9998" w14:textId="77777777" w:rsidR="00E52A58" w:rsidRDefault="00E52A58" w:rsidP="00B43113">
      <w:r>
        <w:continuationSeparator/>
      </w:r>
    </w:p>
  </w:footnote>
  <w:footnote w:id="1">
    <w:p w14:paraId="5D3FCBB8" w14:textId="49E5F316" w:rsidR="00BE69C2" w:rsidRPr="00BE69C2" w:rsidRDefault="00BE69C2" w:rsidP="00BE69C2">
      <w:pPr>
        <w:pStyle w:val="FootnoteText"/>
        <w:spacing w:line="276" w:lineRule="auto"/>
        <w:jc w:val="both"/>
        <w:rPr>
          <w:rFonts w:ascii="Bookman Old Style" w:hAnsi="Bookman Old Style"/>
          <w:sz w:val="22"/>
          <w:szCs w:val="22"/>
          <w:lang w:val="el-GR"/>
        </w:rPr>
      </w:pPr>
      <w:r w:rsidRPr="00D51071">
        <w:rPr>
          <w:rStyle w:val="FootnoteReference"/>
          <w:rFonts w:ascii="Bookman Old Style" w:hAnsi="Bookman Old Style"/>
          <w:sz w:val="22"/>
          <w:szCs w:val="22"/>
        </w:rPr>
        <w:footnoteRef/>
      </w:r>
      <w:r w:rsidRPr="00BE69C2">
        <w:rPr>
          <w:lang w:val="el-GR"/>
        </w:rPr>
        <w:t xml:space="preserve"> </w:t>
      </w:r>
      <w:r w:rsidRPr="00BE69C2">
        <w:rPr>
          <w:rFonts w:ascii="Bookman Old Style" w:hAnsi="Bookman Old Style"/>
          <w:i/>
          <w:iCs/>
          <w:sz w:val="22"/>
          <w:szCs w:val="22"/>
          <w:lang w:val="el-GR"/>
        </w:rPr>
        <w:t>(7) Με την επιφύλαξη της παραγράφου (γ) του εδαφίου (3) και της παραγράφου (γ) του εδαφίου (5), η κράτηση εξακολουθεί καθ’ όλη τη χρονική περίοδο κατά την οποία πληρούνται οι όροι του εδαφίου (1) και είναι αναγκαία για να διασφαλισθεί η επιτυχής απομάκρυνση και δεν υπερβαίνει τους έξι μήνες</w:t>
      </w:r>
      <w:r w:rsidRPr="00BE69C2">
        <w:rPr>
          <w:rFonts w:ascii="Bookman Old Style" w:hAnsi="Bookman Old Style"/>
          <w:sz w:val="22"/>
          <w:szCs w:val="22"/>
          <w:lang w:val="el-GR"/>
        </w:rPr>
        <w:t>.</w:t>
      </w:r>
    </w:p>
  </w:footnote>
  <w:footnote w:id="2">
    <w:p w14:paraId="50BD2924" w14:textId="77777777" w:rsidR="00BE69C2" w:rsidRPr="002420BB" w:rsidRDefault="00BE69C2" w:rsidP="00BE69C2">
      <w:pPr>
        <w:pStyle w:val="NormalWeb"/>
        <w:spacing w:line="276" w:lineRule="auto"/>
        <w:jc w:val="both"/>
        <w:rPr>
          <w:rFonts w:ascii="Bookman Old Style" w:hAnsi="Bookman Old Style"/>
          <w:sz w:val="22"/>
          <w:szCs w:val="22"/>
          <w:lang w:val="el-GR"/>
        </w:rPr>
      </w:pPr>
      <w:r w:rsidRPr="00D51071">
        <w:rPr>
          <w:rStyle w:val="FootnoteReference"/>
          <w:rFonts w:ascii="Bookman Old Style" w:hAnsi="Bookman Old Style"/>
          <w:sz w:val="22"/>
          <w:szCs w:val="22"/>
        </w:rPr>
        <w:footnoteRef/>
      </w:r>
      <w:r w:rsidRPr="002420BB">
        <w:rPr>
          <w:lang w:val="el-GR"/>
        </w:rPr>
        <w:t xml:space="preserve"> </w:t>
      </w:r>
      <w:r w:rsidRPr="002420BB">
        <w:rPr>
          <w:rFonts w:ascii="Bookman Old Style" w:hAnsi="Bookman Old Style"/>
          <w:i/>
          <w:iCs/>
          <w:sz w:val="22"/>
          <w:szCs w:val="22"/>
          <w:lang w:val="el-GR"/>
        </w:rPr>
        <w:t>(8) Ο Υπουργός Εσωτερικών δε δύναται να παρατείνει το χρονικό διάστημα που αναφέρεται στο εδάφιο (7) παρά μόνο για πρόσθετο περιορισμένο χρόνο που δεν υπερβαίνει τους δώδεκα μήνες σε περιπτώσεις κατά τις οποίες, παρ’ όλες τις εύλογες προσπάθειες, η επιχείρηση απομάκρυνσης είναι πιθανόν να διαρκέσει περισσότερο επειδή-</w:t>
      </w:r>
    </w:p>
    <w:p w14:paraId="03E02B0A" w14:textId="77777777" w:rsidR="00BE69C2" w:rsidRPr="002420BB" w:rsidRDefault="00BE69C2" w:rsidP="00BE69C2">
      <w:pPr>
        <w:pStyle w:val="indent10"/>
        <w:spacing w:line="276" w:lineRule="auto"/>
        <w:jc w:val="both"/>
        <w:rPr>
          <w:rFonts w:ascii="Bookman Old Style" w:hAnsi="Bookman Old Style"/>
          <w:sz w:val="22"/>
          <w:szCs w:val="22"/>
          <w:lang w:val="el-GR"/>
        </w:rPr>
      </w:pPr>
      <w:r w:rsidRPr="002420BB">
        <w:rPr>
          <w:rFonts w:ascii="Bookman Old Style" w:hAnsi="Bookman Old Style"/>
          <w:i/>
          <w:iCs/>
          <w:sz w:val="22"/>
          <w:szCs w:val="22"/>
          <w:lang w:val="el-GR"/>
        </w:rPr>
        <w:t>(α) ο συγκεκριμένος υπήκοος της τρίτης χώρας αρνείται να συνεργαστεί, ή</w:t>
      </w:r>
    </w:p>
    <w:p w14:paraId="49DFD3C2" w14:textId="77777777" w:rsidR="00BE69C2" w:rsidRPr="002420BB" w:rsidRDefault="00BE69C2" w:rsidP="00BE69C2">
      <w:pPr>
        <w:pStyle w:val="indent10"/>
        <w:spacing w:line="276" w:lineRule="auto"/>
        <w:jc w:val="both"/>
        <w:rPr>
          <w:rFonts w:ascii="Bookman Old Style" w:hAnsi="Bookman Old Style"/>
          <w:sz w:val="22"/>
          <w:szCs w:val="22"/>
          <w:lang w:val="el-GR"/>
        </w:rPr>
      </w:pPr>
      <w:r w:rsidRPr="002420BB">
        <w:rPr>
          <w:rFonts w:ascii="Bookman Old Style" w:hAnsi="Bookman Old Style"/>
          <w:i/>
          <w:iCs/>
          <w:sz w:val="22"/>
          <w:szCs w:val="22"/>
          <w:lang w:val="el-GR"/>
        </w:rPr>
        <w:t>(β) καθυστερεί η λήψη αναγκαίων εγγράφων από τρίτες χώρες.</w:t>
      </w:r>
    </w:p>
    <w:p w14:paraId="4FE15B4C" w14:textId="2ACB8B00" w:rsidR="00BE69C2" w:rsidRPr="002420BB" w:rsidRDefault="00BE69C2">
      <w:pPr>
        <w:pStyle w:val="FootnoteText"/>
        <w:rPr>
          <w:lang w:val="el-GR"/>
        </w:rPr>
      </w:pPr>
    </w:p>
  </w:footnote>
  <w:footnote w:id="3">
    <w:p w14:paraId="1E69BF54" w14:textId="02542EF0" w:rsidR="006C6BFD" w:rsidRPr="006C6BFD" w:rsidRDefault="006C6BFD">
      <w:pPr>
        <w:pStyle w:val="FootnoteText"/>
        <w:rPr>
          <w:rFonts w:ascii="Bookman Old Style" w:hAnsi="Bookman Old Style"/>
          <w:sz w:val="22"/>
          <w:szCs w:val="22"/>
          <w:lang w:val="el-GR"/>
        </w:rPr>
      </w:pPr>
      <w:r w:rsidRPr="006C6BFD">
        <w:rPr>
          <w:rStyle w:val="FootnoteReference"/>
          <w:rFonts w:ascii="Bookman Old Style" w:hAnsi="Bookman Old Style"/>
          <w:sz w:val="22"/>
          <w:szCs w:val="22"/>
        </w:rPr>
        <w:footnoteRef/>
      </w:r>
      <w:r w:rsidRPr="006C6BFD">
        <w:rPr>
          <w:rFonts w:ascii="Bookman Old Style" w:hAnsi="Bookman Old Style"/>
          <w:sz w:val="22"/>
          <w:szCs w:val="22"/>
          <w:lang w:val="el-GR"/>
        </w:rPr>
        <w:t xml:space="preserve"> </w:t>
      </w:r>
      <w:r w:rsidRPr="006C6BFD">
        <w:rPr>
          <w:rFonts w:ascii="Bookman Old Style" w:hAnsi="Bookman Old Style"/>
          <w:sz w:val="22"/>
          <w:szCs w:val="22"/>
          <w:lang w:val="el-GR"/>
        </w:rPr>
        <w:t xml:space="preserve">Δέστε </w:t>
      </w:r>
      <w:r w:rsidRPr="006C6BFD">
        <w:rPr>
          <w:rFonts w:ascii="Bookman Old Style" w:hAnsi="Bookman Old Style"/>
          <w:b/>
          <w:bCs/>
          <w:i/>
          <w:iCs/>
          <w:sz w:val="22"/>
          <w:szCs w:val="22"/>
          <w:lang w:val="el-GR"/>
        </w:rPr>
        <w:t xml:space="preserve">Άρθρο 18ΟΔ </w:t>
      </w:r>
      <w:r w:rsidRPr="0095110A">
        <w:rPr>
          <w:rFonts w:ascii="Bookman Old Style" w:hAnsi="Bookman Old Style"/>
          <w:sz w:val="22"/>
          <w:szCs w:val="22"/>
          <w:lang w:val="el-GR"/>
        </w:rPr>
        <w:t>του</w:t>
      </w:r>
      <w:r w:rsidRPr="006C6BFD">
        <w:rPr>
          <w:rFonts w:ascii="Bookman Old Style" w:hAnsi="Bookman Old Style"/>
          <w:b/>
          <w:bCs/>
          <w:i/>
          <w:iCs/>
          <w:sz w:val="22"/>
          <w:szCs w:val="22"/>
          <w:lang w:val="el-GR"/>
        </w:rPr>
        <w:t xml:space="preserve"> Κεφ. 105</w:t>
      </w:r>
      <w:r w:rsidRPr="006C6BFD">
        <w:rPr>
          <w:rFonts w:ascii="Bookman Old Style" w:hAnsi="Bookman Old Style"/>
          <w:sz w:val="22"/>
          <w:szCs w:val="22"/>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4DA15EAC" w:rsidR="00CF75E4" w:rsidRDefault="00CF75E4">
    <w:pPr>
      <w:pStyle w:val="Header"/>
      <w:jc w:val="center"/>
    </w:pPr>
    <w:r>
      <w:fldChar w:fldCharType="begin"/>
    </w:r>
    <w:r>
      <w:instrText xml:space="preserve"> PAGE   \* MERGEFORMAT </w:instrText>
    </w:r>
    <w:r>
      <w:fldChar w:fldCharType="separate"/>
    </w:r>
    <w:r w:rsidR="002D7D2A">
      <w:rPr>
        <w:noProof/>
      </w:rPr>
      <w:t>14</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DF5"/>
    <w:multiLevelType w:val="hybridMultilevel"/>
    <w:tmpl w:val="05B42F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7EC0B90"/>
    <w:multiLevelType w:val="hybridMultilevel"/>
    <w:tmpl w:val="766CA0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5"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9"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07083058">
    <w:abstractNumId w:val="13"/>
  </w:num>
  <w:num w:numId="2" w16cid:durableId="73282290">
    <w:abstractNumId w:val="16"/>
  </w:num>
  <w:num w:numId="3" w16cid:durableId="17976628">
    <w:abstractNumId w:val="18"/>
  </w:num>
  <w:num w:numId="4" w16cid:durableId="2143649728">
    <w:abstractNumId w:val="6"/>
  </w:num>
  <w:num w:numId="5" w16cid:durableId="9026380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1747688">
    <w:abstractNumId w:val="12"/>
  </w:num>
  <w:num w:numId="7" w16cid:durableId="1275089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4523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87549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249725">
    <w:abstractNumId w:val="5"/>
  </w:num>
  <w:num w:numId="11" w16cid:durableId="1394307487">
    <w:abstractNumId w:val="1"/>
  </w:num>
  <w:num w:numId="12" w16cid:durableId="1089620080">
    <w:abstractNumId w:val="11"/>
  </w:num>
  <w:num w:numId="13" w16cid:durableId="765082274">
    <w:abstractNumId w:val="17"/>
  </w:num>
  <w:num w:numId="14" w16cid:durableId="1558081709">
    <w:abstractNumId w:val="4"/>
  </w:num>
  <w:num w:numId="15" w16cid:durableId="390232813">
    <w:abstractNumId w:val="10"/>
  </w:num>
  <w:num w:numId="16" w16cid:durableId="1040085922">
    <w:abstractNumId w:val="19"/>
  </w:num>
  <w:num w:numId="17" w16cid:durableId="1434670298">
    <w:abstractNumId w:val="9"/>
  </w:num>
  <w:num w:numId="18" w16cid:durableId="20228545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515281">
    <w:abstractNumId w:val="2"/>
  </w:num>
  <w:num w:numId="20" w16cid:durableId="25363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2600C"/>
    <w:rsid w:val="001300E1"/>
    <w:rsid w:val="0013347A"/>
    <w:rsid w:val="001339D8"/>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66BDD"/>
    <w:rsid w:val="00171E30"/>
    <w:rsid w:val="001725B7"/>
    <w:rsid w:val="0017450C"/>
    <w:rsid w:val="0017483E"/>
    <w:rsid w:val="0018425D"/>
    <w:rsid w:val="00190856"/>
    <w:rsid w:val="00191456"/>
    <w:rsid w:val="00192F15"/>
    <w:rsid w:val="001950A7"/>
    <w:rsid w:val="00197D26"/>
    <w:rsid w:val="001A0D7E"/>
    <w:rsid w:val="001A1A4B"/>
    <w:rsid w:val="001B23EF"/>
    <w:rsid w:val="001B3040"/>
    <w:rsid w:val="001B4997"/>
    <w:rsid w:val="001C3A40"/>
    <w:rsid w:val="001C5EF1"/>
    <w:rsid w:val="001C6A37"/>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070E4"/>
    <w:rsid w:val="002107FF"/>
    <w:rsid w:val="00211B73"/>
    <w:rsid w:val="002121AF"/>
    <w:rsid w:val="00212C84"/>
    <w:rsid w:val="00216C55"/>
    <w:rsid w:val="00221854"/>
    <w:rsid w:val="0023057B"/>
    <w:rsid w:val="00237318"/>
    <w:rsid w:val="002375E9"/>
    <w:rsid w:val="002420BB"/>
    <w:rsid w:val="0024555A"/>
    <w:rsid w:val="00246242"/>
    <w:rsid w:val="00246B4D"/>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A7BDD"/>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D7D2A"/>
    <w:rsid w:val="002E4F31"/>
    <w:rsid w:val="002E5CA3"/>
    <w:rsid w:val="002E73C6"/>
    <w:rsid w:val="002E7735"/>
    <w:rsid w:val="002F671E"/>
    <w:rsid w:val="00302035"/>
    <w:rsid w:val="0030216D"/>
    <w:rsid w:val="003031D4"/>
    <w:rsid w:val="003103D8"/>
    <w:rsid w:val="00316BE5"/>
    <w:rsid w:val="00316C5D"/>
    <w:rsid w:val="00317E3B"/>
    <w:rsid w:val="003231CA"/>
    <w:rsid w:val="00323BFF"/>
    <w:rsid w:val="0032535A"/>
    <w:rsid w:val="00327D19"/>
    <w:rsid w:val="00333E33"/>
    <w:rsid w:val="00335FEF"/>
    <w:rsid w:val="00337703"/>
    <w:rsid w:val="00337BC4"/>
    <w:rsid w:val="003472C7"/>
    <w:rsid w:val="00350F15"/>
    <w:rsid w:val="0035313C"/>
    <w:rsid w:val="003561FF"/>
    <w:rsid w:val="003605F5"/>
    <w:rsid w:val="00362EB6"/>
    <w:rsid w:val="0036532E"/>
    <w:rsid w:val="0037086D"/>
    <w:rsid w:val="00374EB1"/>
    <w:rsid w:val="00380609"/>
    <w:rsid w:val="00381D97"/>
    <w:rsid w:val="00384DF3"/>
    <w:rsid w:val="00386E2D"/>
    <w:rsid w:val="00394B2D"/>
    <w:rsid w:val="00395154"/>
    <w:rsid w:val="00396A1E"/>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0CFB"/>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77A5B"/>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5840"/>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4AF"/>
    <w:rsid w:val="00561BB5"/>
    <w:rsid w:val="005629C5"/>
    <w:rsid w:val="00570888"/>
    <w:rsid w:val="00571FD5"/>
    <w:rsid w:val="00573B9E"/>
    <w:rsid w:val="00573DFB"/>
    <w:rsid w:val="00575D35"/>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CF4"/>
    <w:rsid w:val="005E7D07"/>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C2374"/>
    <w:rsid w:val="006C6BFD"/>
    <w:rsid w:val="006D20A9"/>
    <w:rsid w:val="006D7166"/>
    <w:rsid w:val="006D7A84"/>
    <w:rsid w:val="006E0506"/>
    <w:rsid w:val="006E1250"/>
    <w:rsid w:val="006E136C"/>
    <w:rsid w:val="006F4660"/>
    <w:rsid w:val="006F53E1"/>
    <w:rsid w:val="006F6985"/>
    <w:rsid w:val="00702EC7"/>
    <w:rsid w:val="00703717"/>
    <w:rsid w:val="00705CF7"/>
    <w:rsid w:val="007062FF"/>
    <w:rsid w:val="007104B4"/>
    <w:rsid w:val="0071426B"/>
    <w:rsid w:val="00715AEB"/>
    <w:rsid w:val="00716B91"/>
    <w:rsid w:val="00722DE1"/>
    <w:rsid w:val="00724C0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790C"/>
    <w:rsid w:val="007609F3"/>
    <w:rsid w:val="00765F70"/>
    <w:rsid w:val="007715DB"/>
    <w:rsid w:val="007729CE"/>
    <w:rsid w:val="00773FD7"/>
    <w:rsid w:val="00774795"/>
    <w:rsid w:val="007748E6"/>
    <w:rsid w:val="007758DA"/>
    <w:rsid w:val="00776545"/>
    <w:rsid w:val="00776D6B"/>
    <w:rsid w:val="00777A4E"/>
    <w:rsid w:val="0078135B"/>
    <w:rsid w:val="00781979"/>
    <w:rsid w:val="007847B3"/>
    <w:rsid w:val="007848E4"/>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5FA3"/>
    <w:rsid w:val="0087152E"/>
    <w:rsid w:val="0087268E"/>
    <w:rsid w:val="00874F0C"/>
    <w:rsid w:val="0087796B"/>
    <w:rsid w:val="008842A1"/>
    <w:rsid w:val="00891B19"/>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10A"/>
    <w:rsid w:val="009517D6"/>
    <w:rsid w:val="009521AB"/>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16C2"/>
    <w:rsid w:val="009A1B22"/>
    <w:rsid w:val="009A37F7"/>
    <w:rsid w:val="009A3914"/>
    <w:rsid w:val="009A606D"/>
    <w:rsid w:val="009A732A"/>
    <w:rsid w:val="009B1601"/>
    <w:rsid w:val="009B2043"/>
    <w:rsid w:val="009B21C3"/>
    <w:rsid w:val="009B2592"/>
    <w:rsid w:val="009B6E56"/>
    <w:rsid w:val="009C1918"/>
    <w:rsid w:val="009C62E2"/>
    <w:rsid w:val="009C7AA0"/>
    <w:rsid w:val="009D31F0"/>
    <w:rsid w:val="009D4D0B"/>
    <w:rsid w:val="009D51E4"/>
    <w:rsid w:val="009D6B47"/>
    <w:rsid w:val="009D7F0E"/>
    <w:rsid w:val="009E2DD8"/>
    <w:rsid w:val="009E4842"/>
    <w:rsid w:val="009E6080"/>
    <w:rsid w:val="009F1849"/>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0F6"/>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8F4"/>
    <w:rsid w:val="00B72E2B"/>
    <w:rsid w:val="00B76662"/>
    <w:rsid w:val="00B76983"/>
    <w:rsid w:val="00B777E2"/>
    <w:rsid w:val="00B8101E"/>
    <w:rsid w:val="00B871B1"/>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02E"/>
    <w:rsid w:val="00BE2772"/>
    <w:rsid w:val="00BE4595"/>
    <w:rsid w:val="00BE69C2"/>
    <w:rsid w:val="00BF01A2"/>
    <w:rsid w:val="00BF062D"/>
    <w:rsid w:val="00BF0A7A"/>
    <w:rsid w:val="00BF4175"/>
    <w:rsid w:val="00BF434D"/>
    <w:rsid w:val="00BF6024"/>
    <w:rsid w:val="00C01744"/>
    <w:rsid w:val="00C0277D"/>
    <w:rsid w:val="00C02EE5"/>
    <w:rsid w:val="00C06CA6"/>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67E68"/>
    <w:rsid w:val="00C73242"/>
    <w:rsid w:val="00C73B3A"/>
    <w:rsid w:val="00C74BDE"/>
    <w:rsid w:val="00C77801"/>
    <w:rsid w:val="00C84902"/>
    <w:rsid w:val="00C90860"/>
    <w:rsid w:val="00C91F6C"/>
    <w:rsid w:val="00C92981"/>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2785D"/>
    <w:rsid w:val="00D30849"/>
    <w:rsid w:val="00D32F9D"/>
    <w:rsid w:val="00D3529A"/>
    <w:rsid w:val="00D35EA8"/>
    <w:rsid w:val="00D35F65"/>
    <w:rsid w:val="00D366B0"/>
    <w:rsid w:val="00D368EE"/>
    <w:rsid w:val="00D437C2"/>
    <w:rsid w:val="00D4581D"/>
    <w:rsid w:val="00D45CB3"/>
    <w:rsid w:val="00D4778A"/>
    <w:rsid w:val="00D47FDB"/>
    <w:rsid w:val="00D50F95"/>
    <w:rsid w:val="00D51071"/>
    <w:rsid w:val="00D56B54"/>
    <w:rsid w:val="00D57A94"/>
    <w:rsid w:val="00D604DD"/>
    <w:rsid w:val="00D60DD5"/>
    <w:rsid w:val="00D65359"/>
    <w:rsid w:val="00D67FAD"/>
    <w:rsid w:val="00D74C58"/>
    <w:rsid w:val="00D75F27"/>
    <w:rsid w:val="00D76012"/>
    <w:rsid w:val="00D85EB2"/>
    <w:rsid w:val="00D874F9"/>
    <w:rsid w:val="00D95735"/>
    <w:rsid w:val="00D95D64"/>
    <w:rsid w:val="00DA3DA4"/>
    <w:rsid w:val="00DA574B"/>
    <w:rsid w:val="00DA6979"/>
    <w:rsid w:val="00DB395C"/>
    <w:rsid w:val="00DB65F7"/>
    <w:rsid w:val="00DB7912"/>
    <w:rsid w:val="00DC1CD2"/>
    <w:rsid w:val="00DD0B83"/>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50D40"/>
    <w:rsid w:val="00E50EB3"/>
    <w:rsid w:val="00E52A58"/>
    <w:rsid w:val="00E55A0A"/>
    <w:rsid w:val="00E6449D"/>
    <w:rsid w:val="00E70193"/>
    <w:rsid w:val="00E71828"/>
    <w:rsid w:val="00E728D3"/>
    <w:rsid w:val="00E7345C"/>
    <w:rsid w:val="00E76BAB"/>
    <w:rsid w:val="00E77455"/>
    <w:rsid w:val="00E81A0F"/>
    <w:rsid w:val="00E845CA"/>
    <w:rsid w:val="00E87640"/>
    <w:rsid w:val="00E92452"/>
    <w:rsid w:val="00E92549"/>
    <w:rsid w:val="00EA5D48"/>
    <w:rsid w:val="00EA61A4"/>
    <w:rsid w:val="00EB04B4"/>
    <w:rsid w:val="00EB5DC6"/>
    <w:rsid w:val="00EC197A"/>
    <w:rsid w:val="00EC2763"/>
    <w:rsid w:val="00ED36A3"/>
    <w:rsid w:val="00ED548F"/>
    <w:rsid w:val="00ED5EE9"/>
    <w:rsid w:val="00EE2726"/>
    <w:rsid w:val="00EF352D"/>
    <w:rsid w:val="00EF4076"/>
    <w:rsid w:val="00F005B8"/>
    <w:rsid w:val="00F00823"/>
    <w:rsid w:val="00F0424A"/>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21F8"/>
    <w:rsid w:val="00F64DF9"/>
    <w:rsid w:val="00F672CB"/>
    <w:rsid w:val="00F70207"/>
    <w:rsid w:val="00F71912"/>
    <w:rsid w:val="00F73981"/>
    <w:rsid w:val="00F75EC9"/>
    <w:rsid w:val="00F813A2"/>
    <w:rsid w:val="00F82458"/>
    <w:rsid w:val="00F855F6"/>
    <w:rsid w:val="00F85A31"/>
    <w:rsid w:val="00F85F47"/>
    <w:rsid w:val="00F87852"/>
    <w:rsid w:val="00F95D6B"/>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paragraph" w:styleId="NormalWeb">
    <w:name w:val="Normal (Web)"/>
    <w:basedOn w:val="Normal"/>
    <w:uiPriority w:val="99"/>
    <w:semiHidden/>
    <w:unhideWhenUsed/>
    <w:rsid w:val="00BE69C2"/>
    <w:pPr>
      <w:spacing w:before="100" w:beforeAutospacing="1" w:after="100" w:afterAutospacing="1"/>
    </w:pPr>
  </w:style>
  <w:style w:type="paragraph" w:customStyle="1" w:styleId="indent10">
    <w:name w:val="indent10"/>
    <w:basedOn w:val="Normal"/>
    <w:rsid w:val="00BE69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659844441">
      <w:bodyDiv w:val="1"/>
      <w:marLeft w:val="0"/>
      <w:marRight w:val="0"/>
      <w:marTop w:val="0"/>
      <w:marBottom w:val="0"/>
      <w:divBdr>
        <w:top w:val="none" w:sz="0" w:space="0" w:color="auto"/>
        <w:left w:val="none" w:sz="0" w:space="0" w:color="auto"/>
        <w:bottom w:val="none" w:sz="0" w:space="0" w:color="auto"/>
        <w:right w:val="none" w:sz="0" w:space="0" w:color="auto"/>
      </w:divBdr>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087382604">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51250567">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376115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15905013">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13A4-340D-4B23-B807-6AA6341C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2069</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5</cp:revision>
  <cp:lastPrinted>2024-01-09T09:21:00Z</cp:lastPrinted>
  <dcterms:created xsi:type="dcterms:W3CDTF">2024-01-11T09:59:00Z</dcterms:created>
  <dcterms:modified xsi:type="dcterms:W3CDTF">2024-01-11T10:07:00Z</dcterms:modified>
</cp:coreProperties>
</file>